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22364">
      <w:pPr>
        <w:pStyle w:val="137"/>
        <w:framePr w:w="6003" w:wrap="around" w:vAnchor="page" w:hAnchor="page" w:x="4540" w:y="626"/>
        <w:rPr>
          <w:sz w:val="72"/>
          <w:szCs w:val="72"/>
        </w:rPr>
      </w:pPr>
      <w:bookmarkStart w:id="0" w:name="_Hlk182424548"/>
      <w:bookmarkStart w:id="1" w:name="_Hlk182424353"/>
      <w:bookmarkStart w:id="2" w:name="_Hlk182425172"/>
      <w:r>
        <w:rPr>
          <w:rFonts w:hint="eastAsia"/>
          <w:sz w:val="72"/>
          <w:szCs w:val="72"/>
        </w:rPr>
        <w:t>CCECTA</w:t>
      </w:r>
    </w:p>
    <w:p w14:paraId="018497A9">
      <w:pPr>
        <w:pStyle w:val="149"/>
        <w:framePr w:w="10128" w:h="946" w:hRule="exact" w:wrap="around" w:x="1323" w:y="2101"/>
        <w:rPr>
          <w:rFonts w:ascii="汉仪中宋简" w:hAnsi="汉仪中宋简" w:eastAsia="汉仪中宋简" w:cs="汉仪中宋简"/>
          <w:spacing w:val="0"/>
          <w:w w:val="128"/>
          <w:szCs w:val="48"/>
        </w:rPr>
      </w:pPr>
      <w:bookmarkStart w:id="3" w:name="StdName"/>
      <w:r>
        <w:rPr>
          <w:rFonts w:hint="eastAsia" w:ascii="汉仪中宋简" w:hAnsi="汉仪中宋简" w:eastAsia="汉仪中宋简" w:cs="汉仪中宋简"/>
          <w:b w:val="0"/>
          <w:bCs w:val="0"/>
          <w:spacing w:val="0"/>
          <w:w w:val="128"/>
          <w:szCs w:val="48"/>
        </w:rPr>
        <w:t>中国化工节能技术协会团体标准</w:t>
      </w:r>
    </w:p>
    <w:p w14:paraId="56BAEA30">
      <w:pPr>
        <w:pStyle w:val="95"/>
        <w:framePr w:w="9584" w:h="1141" w:hRule="exact" w:wrap="around" w:x="1456" w:y="3001"/>
        <w:rPr>
          <w:rFonts w:ascii="Times New Roman"/>
        </w:rPr>
      </w:pPr>
      <w:r>
        <w:rPr>
          <w:rFonts w:ascii="Times New Roman"/>
          <w:b/>
          <w:bCs/>
        </w:rPr>
        <w:t>T</w:t>
      </w:r>
      <w:r>
        <w:rPr>
          <w:rFonts w:hint="eastAsia" w:hAnsi="黑体" w:cs="黑体"/>
          <w:b/>
          <w:bCs/>
        </w:rPr>
        <w:t>/</w:t>
      </w:r>
      <w:r>
        <w:rPr>
          <w:rFonts w:ascii="Times New Roman"/>
          <w:b/>
          <w:bCs/>
        </w:rPr>
        <w:t>CCECTA</w:t>
      </w:r>
      <w:r>
        <w:rPr>
          <w:rFonts w:hint="eastAsia" w:hAnsi="黑体"/>
        </w:rPr>
        <w:t>00</w:t>
      </w:r>
      <w:r>
        <w:rPr>
          <w:rFonts w:hAnsi="黑体"/>
        </w:rPr>
        <w:t>XX</w:t>
      </w:r>
      <w:r>
        <w:rPr>
          <w:rFonts w:hint="eastAsia" w:hAnsi="黑体"/>
          <w:b/>
          <w:bCs/>
        </w:rPr>
        <w:t>-</w:t>
      </w:r>
      <w:r>
        <w:rPr>
          <w:rFonts w:hint="eastAsia" w:hAnsi="黑体"/>
        </w:rPr>
        <w:t>2024</w:t>
      </w:r>
    </w:p>
    <w:bookmarkEnd w:id="3"/>
    <w:p w14:paraId="6051C813">
      <w:pPr>
        <w:pStyle w:val="98"/>
        <w:framePr w:wrap="around"/>
      </w:pPr>
      <w:r>
        <w:rPr>
          <w:rFonts w:hint="eastAsia"/>
        </w:rPr>
        <w:t>炼油行业碳捕集项目评价指南</w:t>
      </w:r>
    </w:p>
    <w:p w14:paraId="2B175EC8">
      <w:pPr>
        <w:pStyle w:val="98"/>
        <w:framePr w:wrap="around"/>
      </w:pPr>
    </w:p>
    <w:p w14:paraId="3C757125">
      <w:pPr>
        <w:pStyle w:val="111"/>
        <w:framePr w:wrap="around"/>
        <w:spacing w:before="0"/>
      </w:pPr>
      <w:r>
        <w:rPr>
          <w:rFonts w:hint="eastAsia"/>
        </w:rPr>
        <w:t xml:space="preserve"> Guide for evaluating carbon capture projects in the oil refining industry</w:t>
      </w:r>
    </w:p>
    <w:p w14:paraId="67C3C617">
      <w:pPr>
        <w:pStyle w:val="111"/>
        <w:framePr w:wrap="around"/>
        <w:tabs>
          <w:tab w:val="left" w:pos="1264"/>
          <w:tab w:val="center" w:pos="4888"/>
        </w:tabs>
        <w:spacing w:before="0"/>
        <w:rPr>
          <w:b/>
          <w:bCs/>
          <w:sz w:val="24"/>
          <w:szCs w:val="24"/>
        </w:rPr>
      </w:pPr>
    </w:p>
    <w:p w14:paraId="5C934FC6">
      <w:pPr>
        <w:pStyle w:val="111"/>
        <w:framePr w:wrap="around"/>
      </w:pPr>
      <w:r>
        <w:rPr>
          <w:rFonts w:hint="eastAsia"/>
        </w:rPr>
        <w:t>（</w:t>
      </w:r>
      <w:r>
        <w:rPr>
          <w:rFonts w:hint="eastAsia"/>
          <w:lang w:val="en-US" w:eastAsia="zh-CN"/>
        </w:rPr>
        <w:t>专家征求意见稿</w:t>
      </w:r>
      <w:r>
        <w:rPr>
          <w:rFonts w:hint="eastAsia"/>
        </w:rPr>
        <w:t>）</w:t>
      </w:r>
    </w:p>
    <w:p w14:paraId="1A683C98">
      <w:pPr>
        <w:pStyle w:val="111"/>
        <w:framePr w:wrap="around"/>
      </w:pPr>
    </w:p>
    <w:p w14:paraId="2BE948A5">
      <w:pPr>
        <w:pStyle w:val="121"/>
        <w:framePr w:wrap="around"/>
        <w:rPr>
          <w:rFonts w:ascii="Times New Roman"/>
        </w:rPr>
      </w:pPr>
    </w:p>
    <w:tbl>
      <w:tblPr>
        <w:tblStyle w:val="5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752339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2F94A8FA">
            <w:pPr>
              <w:pStyle w:val="120"/>
              <w:framePr w:wrap="around"/>
              <w:rPr>
                <w:rFonts w:ascii="Times New Roman"/>
              </w:rPr>
            </w:pPr>
          </w:p>
        </w:tc>
      </w:tr>
      <w:tr w14:paraId="60CE8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636CD259">
            <w:pPr>
              <w:pStyle w:val="119"/>
              <w:framePr w:wrap="around"/>
              <w:rPr>
                <w:rFonts w:ascii="Times New Roman"/>
              </w:rPr>
            </w:pPr>
          </w:p>
        </w:tc>
      </w:tr>
    </w:tbl>
    <w:p w14:paraId="6DA1AB1A">
      <w:pPr>
        <w:pStyle w:val="143"/>
        <w:framePr w:wrap="around" w:hAnchor="page" w:x="1440" w:y="14038"/>
        <w:rPr>
          <w:rFonts w:ascii="黑体" w:hAnsi="黑体" w:cs="黑体"/>
        </w:rPr>
      </w:pPr>
      <w:r>
        <w:rPr>
          <w:rFonts w:hint="eastAsia" w:ascii="黑体" w:hAnsi="黑体" w:cs="黑体"/>
        </w:rPr>
        <w:t>20</w:t>
      </w:r>
      <w:r>
        <w:rPr>
          <w:rFonts w:ascii="黑体" w:hAnsi="黑体" w:cs="黑体"/>
        </w:rPr>
        <w:t>XX</w:t>
      </w:r>
      <w:r>
        <w:rPr>
          <w:rFonts w:hint="eastAsia" w:ascii="黑体" w:hAnsi="黑体" w:cs="黑体"/>
        </w:rPr>
        <w:t>-</w:t>
      </w:r>
      <w:r>
        <w:rPr>
          <w:rFonts w:ascii="黑体" w:hAnsi="黑体" w:cs="黑体"/>
        </w:rPr>
        <w:t>XX</w:t>
      </w:r>
      <w:r>
        <w:rPr>
          <w:rFonts w:hint="eastAsia" w:ascii="黑体" w:hAnsi="黑体" w:cs="黑体"/>
        </w:rPr>
        <w:t>-</w:t>
      </w:r>
      <w:r>
        <w:rPr>
          <w:rFonts w:ascii="黑体" w:hAnsi="黑体" w:cs="黑体"/>
        </w:rPr>
        <w:t>XX</w:t>
      </w:r>
      <w:r>
        <w:rPr>
          <w:rFonts w:hint="eastAsia" w:ascii="黑体" w:hAnsi="黑体" w:cs="黑体"/>
        </w:rPr>
        <w:t>发布</w:t>
      </w:r>
      <w:r>
        <w:rPr>
          <w:rFonts w:ascii="黑体" w:hAnsi="黑体" w:cs="黑体"/>
        </w:rPr>
        <w:pict>
          <v:line id="_x0000_s1034" o:spid="_x0000_s1034" o:spt="20" style="position:absolute;left:0pt;margin-left:-0.05pt;margin-top:728.5pt;height:0pt;width:481.9pt;mso-position-vertical-relative:page;z-index:251659264;mso-width-relative:page;mso-height-relative:page;" coordsize="21600,21600">
            <v:path arrowok="t"/>
            <v:fill focussize="0,0"/>
            <v:stroke/>
            <v:imagedata o:title=""/>
            <o:lock v:ext="edit"/>
            <w10:anchorlock/>
          </v:line>
        </w:pict>
      </w:r>
    </w:p>
    <w:p w14:paraId="6E2DE76C">
      <w:pPr>
        <w:pStyle w:val="163"/>
        <w:framePr w:wrap="around" w:hAnchor="page" w:x="7063" w:y="14075"/>
      </w:pPr>
      <w:r>
        <w:rPr>
          <w:rFonts w:hint="eastAsia" w:ascii="黑体" w:hAnsi="黑体" w:cs="黑体"/>
        </w:rPr>
        <w:t>20</w:t>
      </w:r>
      <w:r>
        <w:rPr>
          <w:rFonts w:ascii="黑体" w:hAnsi="黑体" w:cs="黑体"/>
        </w:rPr>
        <w:t>XX</w:t>
      </w:r>
      <w:r>
        <w:rPr>
          <w:rFonts w:hint="eastAsia" w:ascii="黑体" w:hAnsi="黑体" w:cs="黑体"/>
        </w:rPr>
        <w:t>-</w:t>
      </w:r>
      <w:r>
        <w:rPr>
          <w:rFonts w:ascii="黑体" w:hAnsi="黑体" w:cs="黑体"/>
        </w:rPr>
        <w:t>XX</w:t>
      </w:r>
      <w:r>
        <w:rPr>
          <w:rFonts w:hint="eastAsia" w:ascii="黑体" w:hAnsi="黑体" w:cs="黑体"/>
        </w:rPr>
        <w:t>-</w:t>
      </w:r>
      <w:r>
        <w:rPr>
          <w:rFonts w:ascii="黑体" w:hAnsi="黑体" w:cs="黑体"/>
        </w:rPr>
        <w:t>XX</w:t>
      </w:r>
      <w:r>
        <w:rPr>
          <w:rFonts w:hint="eastAsia" w:ascii="黑体" w:hAnsi="黑体" w:cs="黑体"/>
        </w:rPr>
        <w:t>实施</w:t>
      </w:r>
    </w:p>
    <w:p w14:paraId="7214187C">
      <w:pPr>
        <w:pStyle w:val="91"/>
        <w:framePr w:w="9175" w:wrap="around" w:x="1609" w:y="14804"/>
        <w:rPr>
          <w:rFonts w:ascii="Times New Roman"/>
        </w:rPr>
      </w:pPr>
      <w:r>
        <w:rPr>
          <w:rFonts w:hint="eastAsia" w:ascii="汉仪中宋简" w:hAnsi="汉仪中宋简" w:eastAsia="汉仪中宋简" w:cs="汉仪中宋简"/>
          <w:b w:val="0"/>
          <w:bCs/>
          <w:w w:val="128"/>
          <w:sz w:val="32"/>
          <w:szCs w:val="32"/>
        </w:rPr>
        <w:t>中国化工节能技术协会</w:t>
      </w:r>
      <w:r>
        <w:rPr>
          <w:rFonts w:ascii="Times New Roman" w:eastAsia="黑体"/>
          <w:b w:val="0"/>
          <w:w w:val="100"/>
          <w:szCs w:val="22"/>
        </w:rPr>
        <w:t xml:space="preserve">  发 布</w:t>
      </w:r>
    </w:p>
    <w:p w14:paraId="07FC4FCD">
      <w:pPr>
        <w:pStyle w:val="37"/>
        <w:ind w:firstLine="0" w:firstLineChars="0"/>
        <w:rPr>
          <w:rFonts w:ascii="黑体" w:hAnsi="黑体" w:eastAsia="黑体" w:cs="黑体"/>
        </w:rPr>
      </w:pPr>
      <w:bookmarkStart w:id="4" w:name="_Hlk182424720"/>
      <w:r>
        <w:rPr>
          <w:rFonts w:ascii="Times New Roman"/>
          <w:b/>
          <w:bCs/>
        </w:rPr>
        <w:t>ICS</w:t>
      </w:r>
      <w:r>
        <w:rPr>
          <w:rFonts w:ascii="黑体" w:hAnsi="黑体" w:eastAsia="黑体" w:cs="黑体"/>
        </w:rPr>
        <w:t>XX</w:t>
      </w:r>
      <w:r>
        <w:rPr>
          <w:rFonts w:hint="eastAsia" w:ascii="黑体" w:hAnsi="黑体" w:eastAsia="黑体" w:cs="黑体"/>
        </w:rPr>
        <w:t>.</w:t>
      </w:r>
      <w:r>
        <w:rPr>
          <w:rFonts w:ascii="Times New Roman"/>
          <w:b/>
          <w:bCs/>
        </w:rPr>
        <w:pict>
          <v:line id="_x0000_s1035" o:spid="_x0000_s1035" o:spt="20" style="position:absolute;left:0pt;margin-left:-0.05pt;margin-top:184.25pt;height:0pt;width:481.9pt;z-index:251660288;mso-width-relative:page;mso-height-relative:page;" coordsize="21600,21600">
            <v:path arrowok="t"/>
            <v:fill focussize="0,0"/>
            <v:stroke/>
            <v:imagedata o:title=""/>
            <o:lock v:ext="edit"/>
          </v:line>
        </w:pict>
      </w:r>
      <w:r>
        <w:rPr>
          <w:rFonts w:ascii="黑体" w:hAnsi="黑体" w:eastAsia="黑体" w:cs="黑体"/>
        </w:rPr>
        <w:t>XXX</w:t>
      </w:r>
    </w:p>
    <w:p w14:paraId="758E1D99">
      <w:pPr>
        <w:rPr>
          <w:rFonts w:ascii="黑体" w:hAnsi="黑体" w:eastAsia="黑体" w:cs="黑体"/>
        </w:rPr>
      </w:pPr>
      <w:r>
        <w:rPr>
          <w:b/>
          <w:bCs/>
        </w:rPr>
        <w:t>CCS</w:t>
      </w:r>
      <w:r>
        <w:rPr>
          <w:rFonts w:ascii="黑体" w:hAnsi="黑体" w:eastAsia="黑体" w:cs="黑体"/>
        </w:rPr>
        <w:t>X XX</w:t>
      </w:r>
    </w:p>
    <w:bookmarkEnd w:id="0"/>
    <w:bookmarkEnd w:id="4"/>
    <w:p w14:paraId="0E4E3FFD">
      <w:pPr>
        <w:rPr>
          <w:rFonts w:ascii="黑体" w:hAnsi="黑体" w:eastAsia="黑体" w:cs="黑体"/>
        </w:rPr>
        <w:sectPr>
          <w:pgSz w:w="11906" w:h="16838"/>
          <w:pgMar w:top="567" w:right="850" w:bottom="1134" w:left="1418" w:header="0" w:footer="0" w:gutter="0"/>
          <w:pgNumType w:start="1"/>
          <w:cols w:space="720" w:num="1"/>
          <w:docGrid w:type="lines" w:linePitch="312" w:charSpace="0"/>
        </w:sectPr>
      </w:pPr>
    </w:p>
    <w:bookmarkEnd w:id="1"/>
    <w:bookmarkEnd w:id="2"/>
    <w:p w14:paraId="62E1746E">
      <w:pPr>
        <w:pStyle w:val="48"/>
      </w:pPr>
      <w:bookmarkStart w:id="5" w:name="SectionMark4"/>
      <w:r>
        <w:rPr>
          <w:rFonts w:hint="eastAsia"/>
        </w:rPr>
        <w:t xml:space="preserve">前 </w:t>
      </w:r>
      <w:r>
        <w:t xml:space="preserve"> </w:t>
      </w:r>
      <w:r>
        <w:rPr>
          <w:rFonts w:hint="eastAsia"/>
        </w:rPr>
        <w:t>言</w:t>
      </w:r>
    </w:p>
    <w:p w14:paraId="62F899B5">
      <w:pPr>
        <w:spacing w:line="360" w:lineRule="auto"/>
        <w:ind w:left="0" w:leftChars="0"/>
      </w:pPr>
      <w:r>
        <w:rPr>
          <w:rFonts w:hint="eastAsia"/>
        </w:rPr>
        <w:t>本标准由XX提出。</w:t>
      </w:r>
    </w:p>
    <w:p w14:paraId="76CA83B4">
      <w:pPr>
        <w:spacing w:line="360" w:lineRule="auto"/>
        <w:ind w:left="0" w:leftChars="0"/>
        <w:rPr>
          <w:rFonts w:hint="eastAsia"/>
          <w:b/>
        </w:rPr>
      </w:pPr>
      <w:r>
        <w:rPr>
          <w:rFonts w:hint="eastAsia"/>
        </w:rPr>
        <w:t>本标准由XX归口。</w:t>
      </w:r>
    </w:p>
    <w:p w14:paraId="68B81FCA">
      <w:pPr>
        <w:spacing w:line="360" w:lineRule="auto"/>
        <w:ind w:left="0" w:leftChars="0"/>
      </w:pPr>
      <w:r>
        <w:rPr>
          <w:rFonts w:hint="eastAsia"/>
        </w:rPr>
        <w:t>本标准主要起草单位：</w:t>
      </w:r>
    </w:p>
    <w:p w14:paraId="772F50C6">
      <w:pPr>
        <w:spacing w:line="360" w:lineRule="auto"/>
        <w:ind w:left="0" w:leftChars="0"/>
        <w:rPr>
          <w:rFonts w:hint="eastAsia"/>
        </w:rPr>
      </w:pPr>
      <w:r>
        <w:rPr>
          <w:rFonts w:hint="eastAsia"/>
        </w:rPr>
        <w:t xml:space="preserve">本标准主要起草人： </w:t>
      </w:r>
    </w:p>
    <w:p w14:paraId="1C6B86C2">
      <w:pPr>
        <w:spacing w:before="240" w:after="240"/>
        <w:ind w:firstLine="643"/>
        <w:jc w:val="center"/>
        <w:outlineLvl w:val="0"/>
        <w:rPr>
          <w:rFonts w:hint="eastAsia" w:ascii="Arial" w:hAnsi="Arial" w:eastAsia="黑体" w:cs="Arial"/>
          <w:b/>
          <w:bCs/>
          <w:sz w:val="32"/>
          <w:szCs w:val="32"/>
        </w:rPr>
      </w:pPr>
    </w:p>
    <w:p w14:paraId="46817F2E">
      <w:pPr>
        <w:spacing w:before="240" w:after="240"/>
        <w:ind w:firstLine="643"/>
        <w:jc w:val="center"/>
        <w:outlineLvl w:val="0"/>
        <w:rPr>
          <w:rFonts w:hint="eastAsia" w:ascii="Arial" w:hAnsi="Arial" w:eastAsia="黑体" w:cs="Arial"/>
          <w:b/>
          <w:bCs/>
          <w:sz w:val="32"/>
          <w:szCs w:val="32"/>
        </w:rPr>
      </w:pPr>
    </w:p>
    <w:p w14:paraId="487DC652">
      <w:pPr>
        <w:spacing w:before="240" w:after="240"/>
        <w:ind w:firstLine="643"/>
        <w:jc w:val="center"/>
        <w:outlineLvl w:val="0"/>
        <w:rPr>
          <w:rFonts w:hint="eastAsia" w:ascii="Arial" w:hAnsi="Arial" w:eastAsia="黑体" w:cs="Arial"/>
          <w:b/>
          <w:bCs/>
          <w:sz w:val="32"/>
          <w:szCs w:val="32"/>
        </w:rPr>
      </w:pPr>
    </w:p>
    <w:p w14:paraId="034C3DA5">
      <w:pPr>
        <w:spacing w:before="240" w:after="240"/>
        <w:ind w:firstLine="643"/>
        <w:jc w:val="center"/>
        <w:outlineLvl w:val="0"/>
        <w:rPr>
          <w:rFonts w:hint="eastAsia" w:ascii="Arial" w:hAnsi="Arial" w:eastAsia="黑体" w:cs="Arial"/>
          <w:b/>
          <w:bCs/>
          <w:sz w:val="32"/>
          <w:szCs w:val="32"/>
        </w:rPr>
      </w:pPr>
    </w:p>
    <w:p w14:paraId="15C885D7">
      <w:pPr>
        <w:spacing w:before="240" w:after="240"/>
        <w:ind w:firstLine="643"/>
        <w:jc w:val="center"/>
        <w:outlineLvl w:val="0"/>
        <w:rPr>
          <w:rFonts w:hint="eastAsia" w:ascii="Arial" w:hAnsi="Arial" w:eastAsia="黑体" w:cs="Arial"/>
          <w:b/>
          <w:bCs/>
          <w:sz w:val="32"/>
          <w:szCs w:val="32"/>
        </w:rPr>
      </w:pPr>
    </w:p>
    <w:p w14:paraId="7585FC2E">
      <w:pPr>
        <w:spacing w:before="240" w:after="240"/>
        <w:ind w:firstLine="643"/>
        <w:jc w:val="center"/>
        <w:outlineLvl w:val="0"/>
        <w:rPr>
          <w:rFonts w:hint="eastAsia" w:ascii="Arial" w:hAnsi="Arial" w:eastAsia="黑体" w:cs="Arial"/>
          <w:b/>
          <w:bCs/>
          <w:sz w:val="32"/>
          <w:szCs w:val="32"/>
        </w:rPr>
      </w:pPr>
    </w:p>
    <w:p w14:paraId="602120C1">
      <w:pPr>
        <w:spacing w:before="240" w:after="240"/>
        <w:ind w:firstLine="643"/>
        <w:jc w:val="center"/>
        <w:outlineLvl w:val="0"/>
        <w:rPr>
          <w:rFonts w:hint="eastAsia" w:ascii="Arial" w:hAnsi="Arial" w:eastAsia="黑体" w:cs="Arial"/>
          <w:b/>
          <w:bCs/>
          <w:sz w:val="32"/>
          <w:szCs w:val="32"/>
        </w:rPr>
      </w:pPr>
    </w:p>
    <w:p w14:paraId="47118784">
      <w:pPr>
        <w:spacing w:before="240" w:after="240"/>
        <w:ind w:firstLine="643"/>
        <w:jc w:val="center"/>
        <w:outlineLvl w:val="0"/>
        <w:rPr>
          <w:rFonts w:hint="eastAsia" w:ascii="Arial" w:hAnsi="Arial" w:eastAsia="黑体" w:cs="Arial"/>
          <w:b/>
          <w:bCs/>
          <w:sz w:val="32"/>
          <w:szCs w:val="32"/>
        </w:rPr>
      </w:pPr>
    </w:p>
    <w:p w14:paraId="7E3D5507">
      <w:pPr>
        <w:spacing w:before="240" w:after="240"/>
        <w:ind w:firstLine="643"/>
        <w:jc w:val="center"/>
        <w:outlineLvl w:val="0"/>
        <w:rPr>
          <w:rFonts w:hint="eastAsia" w:ascii="Arial" w:hAnsi="Arial" w:eastAsia="黑体" w:cs="Arial"/>
          <w:b/>
          <w:bCs/>
          <w:sz w:val="32"/>
          <w:szCs w:val="32"/>
        </w:rPr>
      </w:pPr>
    </w:p>
    <w:p w14:paraId="6A9D9613">
      <w:pPr>
        <w:spacing w:before="240" w:after="240"/>
        <w:ind w:firstLine="643"/>
        <w:jc w:val="center"/>
        <w:outlineLvl w:val="0"/>
        <w:rPr>
          <w:rFonts w:hint="eastAsia" w:ascii="Arial" w:hAnsi="Arial" w:eastAsia="黑体" w:cs="Arial"/>
          <w:b/>
          <w:bCs/>
          <w:sz w:val="32"/>
          <w:szCs w:val="32"/>
        </w:rPr>
      </w:pPr>
    </w:p>
    <w:p w14:paraId="2565B8FE">
      <w:pPr>
        <w:spacing w:before="240" w:after="240"/>
        <w:ind w:firstLine="643"/>
        <w:jc w:val="center"/>
        <w:outlineLvl w:val="0"/>
        <w:rPr>
          <w:rFonts w:hint="eastAsia" w:ascii="Arial" w:hAnsi="Arial" w:eastAsia="黑体" w:cs="Arial"/>
          <w:b/>
          <w:bCs/>
          <w:sz w:val="32"/>
          <w:szCs w:val="32"/>
        </w:rPr>
      </w:pPr>
    </w:p>
    <w:p w14:paraId="2FCBDC50">
      <w:pPr>
        <w:spacing w:before="240" w:after="240"/>
        <w:ind w:firstLine="643"/>
        <w:jc w:val="center"/>
        <w:outlineLvl w:val="0"/>
        <w:rPr>
          <w:rFonts w:hint="eastAsia" w:ascii="Arial" w:hAnsi="Arial" w:eastAsia="黑体" w:cs="Arial"/>
          <w:b/>
          <w:bCs/>
          <w:sz w:val="32"/>
          <w:szCs w:val="32"/>
        </w:rPr>
      </w:pPr>
    </w:p>
    <w:p w14:paraId="6BDD84AD">
      <w:pPr>
        <w:spacing w:before="240" w:after="240"/>
        <w:ind w:firstLine="643"/>
        <w:jc w:val="center"/>
        <w:outlineLvl w:val="0"/>
        <w:rPr>
          <w:rFonts w:hint="eastAsia" w:ascii="Arial" w:hAnsi="Arial" w:eastAsia="黑体" w:cs="Arial"/>
          <w:b/>
          <w:bCs/>
          <w:sz w:val="32"/>
          <w:szCs w:val="32"/>
        </w:rPr>
      </w:pPr>
    </w:p>
    <w:p w14:paraId="47500172">
      <w:pPr>
        <w:spacing w:before="240" w:after="240"/>
        <w:ind w:firstLine="643"/>
        <w:jc w:val="center"/>
        <w:outlineLvl w:val="0"/>
        <w:rPr>
          <w:rFonts w:hint="eastAsia" w:ascii="Arial" w:hAnsi="Arial" w:eastAsia="黑体" w:cs="Arial"/>
          <w:b/>
          <w:bCs/>
          <w:sz w:val="32"/>
          <w:szCs w:val="32"/>
        </w:rPr>
      </w:pPr>
    </w:p>
    <w:p w14:paraId="2F667390">
      <w:pPr>
        <w:spacing w:before="240" w:after="240"/>
        <w:ind w:firstLine="643"/>
        <w:jc w:val="center"/>
        <w:outlineLvl w:val="0"/>
        <w:rPr>
          <w:rFonts w:hint="eastAsia" w:ascii="Arial" w:hAnsi="Arial" w:eastAsia="黑体" w:cs="Arial"/>
          <w:b/>
          <w:bCs/>
          <w:sz w:val="32"/>
          <w:szCs w:val="32"/>
        </w:rPr>
      </w:pPr>
    </w:p>
    <w:p w14:paraId="21931EE0">
      <w:pPr>
        <w:spacing w:before="240" w:after="240"/>
        <w:ind w:firstLine="643"/>
        <w:jc w:val="center"/>
        <w:outlineLvl w:val="0"/>
        <w:rPr>
          <w:rFonts w:hint="eastAsia" w:ascii="Arial" w:hAnsi="Arial" w:eastAsia="黑体" w:cs="Arial"/>
          <w:b/>
          <w:bCs/>
          <w:sz w:val="32"/>
          <w:szCs w:val="32"/>
        </w:rPr>
      </w:pPr>
    </w:p>
    <w:p w14:paraId="396A238A">
      <w:pPr>
        <w:spacing w:before="240" w:after="240"/>
        <w:ind w:firstLine="643"/>
        <w:jc w:val="center"/>
        <w:outlineLvl w:val="0"/>
        <w:rPr>
          <w:rFonts w:hint="eastAsia" w:ascii="Arial" w:hAnsi="Arial" w:eastAsia="黑体" w:cs="Arial"/>
          <w:b/>
          <w:bCs/>
          <w:sz w:val="32"/>
          <w:szCs w:val="32"/>
        </w:rPr>
      </w:pPr>
    </w:p>
    <w:p w14:paraId="337851AD">
      <w:pPr>
        <w:spacing w:before="240" w:after="240"/>
        <w:ind w:firstLine="643"/>
        <w:jc w:val="center"/>
        <w:outlineLvl w:val="0"/>
        <w:rPr>
          <w:rFonts w:hint="eastAsia" w:ascii="Arial" w:hAnsi="Arial" w:eastAsia="黑体" w:cs="Arial"/>
          <w:b/>
          <w:bCs/>
          <w:sz w:val="32"/>
          <w:szCs w:val="32"/>
        </w:rPr>
      </w:pPr>
    </w:p>
    <w:p w14:paraId="6A31F800">
      <w:pPr>
        <w:spacing w:before="240" w:after="240"/>
        <w:ind w:firstLine="643"/>
        <w:jc w:val="center"/>
        <w:outlineLvl w:val="0"/>
        <w:rPr>
          <w:rFonts w:hint="eastAsia" w:ascii="Arial" w:hAnsi="Arial" w:eastAsia="黑体" w:cs="Arial"/>
          <w:b/>
          <w:bCs/>
          <w:sz w:val="32"/>
          <w:szCs w:val="32"/>
        </w:rPr>
      </w:pPr>
    </w:p>
    <w:p w14:paraId="32EA145C">
      <w:pPr>
        <w:spacing w:before="240" w:after="240"/>
        <w:ind w:firstLine="643"/>
        <w:jc w:val="center"/>
        <w:outlineLvl w:val="0"/>
        <w:rPr>
          <w:rFonts w:ascii="Arial" w:hAnsi="Arial" w:eastAsia="黑体" w:cs="Arial"/>
          <w:b/>
          <w:bCs/>
          <w:sz w:val="32"/>
          <w:szCs w:val="32"/>
        </w:rPr>
      </w:pPr>
      <w:r>
        <w:rPr>
          <w:rFonts w:hint="eastAsia" w:ascii="Arial" w:hAnsi="Arial" w:eastAsia="黑体" w:cs="Arial"/>
          <w:b/>
          <w:bCs/>
          <w:sz w:val="32"/>
          <w:szCs w:val="32"/>
        </w:rPr>
        <w:t>炼油行业碳捕集项目评价指南</w:t>
      </w:r>
    </w:p>
    <w:p w14:paraId="591BD8F3">
      <w:pPr>
        <w:keepNext/>
        <w:keepLines/>
        <w:spacing w:before="120" w:after="120"/>
        <w:outlineLvl w:val="0"/>
        <w:rPr>
          <w:b/>
          <w:bCs/>
          <w:color w:val="FF0000"/>
          <w:kern w:val="44"/>
          <w:szCs w:val="44"/>
        </w:rPr>
      </w:pPr>
      <w:r>
        <w:rPr>
          <w:b/>
          <w:bCs/>
          <w:kern w:val="44"/>
          <w:szCs w:val="44"/>
        </w:rPr>
        <w:t>1范围</w:t>
      </w:r>
    </w:p>
    <w:p w14:paraId="1C5EBFB7">
      <w:pPr>
        <w:widowControl/>
        <w:autoSpaceDE w:val="0"/>
        <w:autoSpaceDN w:val="0"/>
        <w:spacing w:line="360" w:lineRule="exact"/>
        <w:ind w:firstLine="420" w:firstLineChars="200"/>
        <w:rPr>
          <w:rFonts w:ascii="宋体"/>
          <w:color w:val="000000"/>
          <w:kern w:val="0"/>
          <w:szCs w:val="22"/>
        </w:rPr>
      </w:pPr>
      <w:r>
        <w:rPr>
          <w:rFonts w:ascii="宋体"/>
          <w:color w:val="000000"/>
          <w:kern w:val="0"/>
          <w:szCs w:val="22"/>
        </w:rPr>
        <w:t>本标准适用于炼油行业二氧化碳捕集项目</w:t>
      </w:r>
      <w:r>
        <w:rPr>
          <w:rFonts w:hint="eastAsia" w:ascii="宋体"/>
          <w:color w:val="000000"/>
          <w:kern w:val="0"/>
          <w:szCs w:val="22"/>
        </w:rPr>
        <w:t>的技术</w:t>
      </w:r>
      <w:r>
        <w:rPr>
          <w:rFonts w:ascii="宋体"/>
          <w:color w:val="000000"/>
          <w:kern w:val="0"/>
          <w:szCs w:val="22"/>
        </w:rPr>
        <w:t>评价指南。</w:t>
      </w:r>
    </w:p>
    <w:p w14:paraId="79ED965C">
      <w:pPr>
        <w:widowControl/>
        <w:autoSpaceDE w:val="0"/>
        <w:autoSpaceDN w:val="0"/>
        <w:spacing w:line="360" w:lineRule="exact"/>
        <w:ind w:firstLine="420" w:firstLineChars="200"/>
        <w:rPr>
          <w:rFonts w:ascii="宋体"/>
          <w:color w:val="000000"/>
          <w:kern w:val="0"/>
          <w:szCs w:val="22"/>
        </w:rPr>
      </w:pPr>
      <w:r>
        <w:rPr>
          <w:rFonts w:ascii="宋体"/>
          <w:color w:val="000000"/>
          <w:kern w:val="0"/>
          <w:szCs w:val="22"/>
        </w:rPr>
        <w:t>本标准规定了炼油行业常减压、</w:t>
      </w:r>
      <w:bookmarkStart w:id="6" w:name="_Hlk181896151"/>
      <w:r>
        <w:rPr>
          <w:rFonts w:ascii="宋体"/>
          <w:color w:val="000000"/>
          <w:kern w:val="0"/>
          <w:szCs w:val="22"/>
        </w:rPr>
        <w:t>催化裂化</w:t>
      </w:r>
      <w:bookmarkEnd w:id="6"/>
      <w:r>
        <w:rPr>
          <w:rFonts w:ascii="宋体"/>
          <w:color w:val="000000"/>
          <w:kern w:val="0"/>
          <w:szCs w:val="22"/>
        </w:rPr>
        <w:t>、延迟焦化、催化重整、加氢裂化、制氢等工艺涉及的碳捕集项目的技术评价。</w:t>
      </w:r>
    </w:p>
    <w:p w14:paraId="2AAE412F">
      <w:pPr>
        <w:keepNext/>
        <w:keepLines/>
        <w:spacing w:before="120" w:after="120"/>
        <w:outlineLvl w:val="0"/>
        <w:rPr>
          <w:b/>
          <w:bCs/>
          <w:kern w:val="44"/>
          <w:szCs w:val="44"/>
        </w:rPr>
      </w:pPr>
      <w:bookmarkStart w:id="7" w:name="_Toc515068871"/>
      <w:bookmarkStart w:id="8" w:name="_Toc515069473"/>
      <w:bookmarkStart w:id="9" w:name="_Toc515069356"/>
      <w:bookmarkStart w:id="10" w:name="_Toc515069724"/>
      <w:bookmarkStart w:id="11" w:name="_Toc515069854"/>
      <w:bookmarkStart w:id="12" w:name="_Toc167334432"/>
      <w:r>
        <w:rPr>
          <w:b/>
          <w:bCs/>
          <w:kern w:val="44"/>
          <w:szCs w:val="44"/>
        </w:rPr>
        <w:t>2规范性引用文件</w:t>
      </w:r>
      <w:bookmarkEnd w:id="7"/>
      <w:bookmarkEnd w:id="8"/>
      <w:bookmarkEnd w:id="9"/>
      <w:bookmarkEnd w:id="10"/>
      <w:bookmarkEnd w:id="11"/>
      <w:bookmarkEnd w:id="12"/>
    </w:p>
    <w:p w14:paraId="7A0761FE">
      <w:pPr>
        <w:spacing w:line="360" w:lineRule="exact"/>
        <w:ind w:firstLine="420" w:firstLineChars="200"/>
        <w:rPr>
          <w:szCs w:val="20"/>
        </w:rPr>
      </w:pPr>
      <w:r>
        <w:rPr>
          <w:rFonts w:hint="eastAsia"/>
          <w:szCs w:val="20"/>
        </w:rPr>
        <w:t>下列文件中的内容通过文中的规范性引用而构成本文件必不可少的条款。凡是注日期的引用文件，仅注日期对应的版本适用于本文件。凡是不注日期的引用文件，其最新版本（包括所有的修改单）适用于本文件。</w:t>
      </w:r>
    </w:p>
    <w:p w14:paraId="084736C7">
      <w:pPr>
        <w:spacing w:line="360" w:lineRule="exact"/>
        <w:ind w:firstLine="420" w:firstLineChars="200"/>
        <w:rPr>
          <w:szCs w:val="20"/>
        </w:rPr>
      </w:pPr>
      <w:r>
        <w:rPr>
          <w:rFonts w:hint="eastAsia"/>
          <w:szCs w:val="20"/>
        </w:rPr>
        <w:t>GB 30251 炼油单位产品能源消耗限额</w:t>
      </w:r>
    </w:p>
    <w:p w14:paraId="2F0D1A2E">
      <w:pPr>
        <w:spacing w:line="360" w:lineRule="exact"/>
        <w:ind w:firstLine="420" w:firstLineChars="200"/>
        <w:rPr>
          <w:szCs w:val="20"/>
        </w:rPr>
      </w:pPr>
      <w:r>
        <w:rPr>
          <w:rFonts w:hint="eastAsia"/>
          <w:szCs w:val="20"/>
        </w:rPr>
        <w:t>GB 31570 石油炼制工业污染物排放标准</w:t>
      </w:r>
    </w:p>
    <w:p w14:paraId="24B21ECB">
      <w:pPr>
        <w:spacing w:line="360" w:lineRule="exact"/>
        <w:ind w:firstLine="420" w:firstLineChars="200"/>
        <w:rPr>
          <w:szCs w:val="20"/>
        </w:rPr>
      </w:pPr>
      <w:r>
        <w:rPr>
          <w:rFonts w:hint="eastAsia"/>
          <w:szCs w:val="20"/>
        </w:rPr>
        <w:t>GB∕T 32150 工业企业温室气体排放核算和报告通则</w:t>
      </w:r>
    </w:p>
    <w:p w14:paraId="6054218B">
      <w:pPr>
        <w:spacing w:line="360" w:lineRule="exact"/>
        <w:ind w:firstLine="420" w:firstLineChars="200"/>
        <w:rPr>
          <w:szCs w:val="20"/>
        </w:rPr>
      </w:pPr>
      <w:r>
        <w:rPr>
          <w:rFonts w:hint="eastAsia"/>
          <w:szCs w:val="20"/>
        </w:rPr>
        <w:t>GB/T 51316-2018 烟气二氧化碳捕集纯化工程设计标准</w:t>
      </w:r>
    </w:p>
    <w:p w14:paraId="1697BC7F">
      <w:pPr>
        <w:spacing w:line="360" w:lineRule="exact"/>
        <w:ind w:firstLine="420" w:firstLineChars="200"/>
        <w:rPr>
          <w:szCs w:val="20"/>
        </w:rPr>
      </w:pPr>
      <w:r>
        <w:rPr>
          <w:rFonts w:hint="eastAsia"/>
          <w:szCs w:val="20"/>
        </w:rPr>
        <w:t>DL/T 5375-2018 火力发电厂可行性研究报告内容深度规定</w:t>
      </w:r>
    </w:p>
    <w:p w14:paraId="5627164C">
      <w:pPr>
        <w:spacing w:line="360" w:lineRule="exact"/>
        <w:ind w:firstLine="420" w:firstLineChars="200"/>
        <w:rPr>
          <w:szCs w:val="20"/>
        </w:rPr>
      </w:pPr>
      <w:r>
        <w:rPr>
          <w:rFonts w:hint="eastAsia"/>
          <w:szCs w:val="20"/>
        </w:rPr>
        <w:t>中国石油化工生产企业温室气体排放核算方法与报告指南（试行版，发改办气候 [2014] 2920号附件2）</w:t>
      </w:r>
      <w:r>
        <w:rPr>
          <w:rFonts w:hint="eastAsia"/>
          <w:szCs w:val="20"/>
        </w:rPr>
        <w:cr/>
      </w:r>
      <w:r>
        <w:rPr>
          <w:rFonts w:hint="eastAsia"/>
          <w:szCs w:val="20"/>
        </w:rPr>
        <w:t>省级温室气体清单编制指南（试行版，发改办气候[2010] 2350号）</w:t>
      </w:r>
    </w:p>
    <w:p w14:paraId="348F4A5C">
      <w:pPr>
        <w:spacing w:line="360" w:lineRule="exact"/>
        <w:ind w:firstLine="420" w:firstLineChars="200"/>
        <w:rPr>
          <w:szCs w:val="20"/>
        </w:rPr>
      </w:pPr>
      <w:r>
        <w:rPr>
          <w:rFonts w:hint="eastAsia"/>
          <w:szCs w:val="20"/>
        </w:rPr>
        <w:t>企业温室气体排放核算方法与报告指南 发电设施（试行版，环办气候[2021] 9号附件2）</w:t>
      </w:r>
    </w:p>
    <w:p w14:paraId="782482B6">
      <w:pPr>
        <w:keepNext/>
        <w:keepLines/>
        <w:spacing w:before="120" w:after="120"/>
        <w:outlineLvl w:val="0"/>
        <w:rPr>
          <w:b/>
          <w:bCs/>
          <w:kern w:val="44"/>
          <w:szCs w:val="44"/>
        </w:rPr>
      </w:pPr>
      <w:bookmarkStart w:id="13" w:name="_Toc515069725"/>
      <w:bookmarkStart w:id="14" w:name="_Toc515068872"/>
      <w:bookmarkStart w:id="15" w:name="_Toc515069855"/>
      <w:bookmarkStart w:id="16" w:name="_Toc167334433"/>
      <w:bookmarkStart w:id="17" w:name="_Toc515069474"/>
      <w:bookmarkStart w:id="18" w:name="_Toc515069357"/>
      <w:r>
        <w:rPr>
          <w:rFonts w:hint="eastAsia"/>
          <w:b/>
          <w:bCs/>
          <w:kern w:val="44"/>
          <w:szCs w:val="44"/>
        </w:rPr>
        <w:t>3 术语和定义</w:t>
      </w:r>
      <w:bookmarkEnd w:id="13"/>
      <w:bookmarkEnd w:id="14"/>
      <w:bookmarkEnd w:id="15"/>
      <w:bookmarkEnd w:id="16"/>
      <w:bookmarkEnd w:id="17"/>
      <w:bookmarkEnd w:id="18"/>
    </w:p>
    <w:p w14:paraId="2BB77169">
      <w:pPr>
        <w:ind w:firstLine="420" w:firstLineChars="200"/>
      </w:pPr>
      <w:r>
        <w:rPr>
          <w:rFonts w:hint="eastAsia"/>
        </w:rPr>
        <w:t>下列术语和定义适用于本标准。</w:t>
      </w:r>
    </w:p>
    <w:p w14:paraId="37869533">
      <w:pPr>
        <w:ind w:firstLine="420" w:firstLineChars="200"/>
      </w:pPr>
      <w:r>
        <w:rPr>
          <w:rFonts w:hint="eastAsia"/>
        </w:rPr>
        <w:t>GB/T 51316-2018 和 DL/T 5375-2018 界定的以及下列术语和定义适用于本文件。</w:t>
      </w:r>
    </w:p>
    <w:p w14:paraId="74C68A15">
      <w:pPr>
        <w:spacing w:line="360" w:lineRule="exact"/>
        <w:rPr>
          <w:rFonts w:cs="宋体"/>
          <w:b/>
          <w:bCs/>
          <w:szCs w:val="21"/>
        </w:rPr>
      </w:pPr>
      <w:r>
        <w:rPr>
          <w:rFonts w:hint="eastAsia" w:cs="宋体"/>
          <w:b/>
          <w:bCs/>
          <w:szCs w:val="21"/>
        </w:rPr>
        <w:t>3.</w:t>
      </w:r>
      <w:r>
        <w:rPr>
          <w:rFonts w:cs="宋体"/>
          <w:b/>
          <w:bCs/>
          <w:szCs w:val="21"/>
        </w:rPr>
        <w:t>1</w:t>
      </w:r>
      <w:r>
        <w:rPr>
          <w:rFonts w:hint="eastAsia" w:cs="宋体"/>
          <w:b/>
          <w:bCs/>
          <w:szCs w:val="21"/>
        </w:rPr>
        <w:t xml:space="preserve"> 石油炼制行业</w:t>
      </w:r>
      <w:r>
        <w:rPr>
          <w:rFonts w:cs="宋体"/>
          <w:b/>
          <w:bCs/>
          <w:szCs w:val="21"/>
        </w:rPr>
        <w:t xml:space="preserve"> petroleum refining industry </w:t>
      </w:r>
    </w:p>
    <w:p w14:paraId="7FAC30F9">
      <w:pPr>
        <w:spacing w:line="360" w:lineRule="exact"/>
        <w:ind w:firstLine="420" w:firstLineChars="200"/>
        <w:rPr>
          <w:szCs w:val="20"/>
        </w:rPr>
      </w:pPr>
      <w:r>
        <w:rPr>
          <w:rFonts w:hint="eastAsia"/>
          <w:szCs w:val="20"/>
        </w:rPr>
        <w:t xml:space="preserve">以原油、重油等为原料，生产汽油馏分、柴油馏分、燃料油、润滑油、石油蜡、石油沥青和石油化工原料等的工业。 </w:t>
      </w:r>
    </w:p>
    <w:p w14:paraId="6D511343">
      <w:pPr>
        <w:spacing w:line="360" w:lineRule="exact"/>
        <w:rPr>
          <w:szCs w:val="20"/>
        </w:rPr>
      </w:pPr>
      <w:r>
        <w:rPr>
          <w:rFonts w:hint="eastAsia"/>
          <w:szCs w:val="20"/>
        </w:rPr>
        <w:t>[来源：GB 31570-2015，术语和定义3.1]</w:t>
      </w:r>
    </w:p>
    <w:bookmarkEnd w:id="5"/>
    <w:p w14:paraId="541B973F">
      <w:pPr>
        <w:spacing w:line="360" w:lineRule="auto"/>
        <w:rPr>
          <w:b/>
          <w:bCs/>
          <w:szCs w:val="21"/>
        </w:rPr>
      </w:pPr>
      <w:bookmarkStart w:id="19" w:name="_Toc515069358"/>
      <w:bookmarkEnd w:id="19"/>
      <w:bookmarkStart w:id="20" w:name="_Toc167334436"/>
      <w:bookmarkStart w:id="21" w:name="_Toc515069857"/>
      <w:bookmarkStart w:id="22" w:name="_Toc515069476"/>
      <w:bookmarkStart w:id="23" w:name="_Toc515068874"/>
      <w:bookmarkStart w:id="24" w:name="_Toc515069365"/>
      <w:bookmarkStart w:id="25" w:name="_Toc515069727"/>
      <w:r>
        <w:rPr>
          <w:rFonts w:hint="eastAsia"/>
          <w:b/>
          <w:bCs/>
          <w:szCs w:val="21"/>
        </w:rPr>
        <w:t>3.</w:t>
      </w:r>
      <w:r>
        <w:rPr>
          <w:b/>
          <w:bCs/>
          <w:szCs w:val="21"/>
        </w:rPr>
        <w:t>2</w:t>
      </w:r>
      <w:r>
        <w:rPr>
          <w:rFonts w:hint="eastAsia"/>
          <w:b/>
          <w:bCs/>
          <w:szCs w:val="21"/>
        </w:rPr>
        <w:t xml:space="preserve"> 捕集纯化  capture and purification</w:t>
      </w:r>
    </w:p>
    <w:p w14:paraId="41863084">
      <w:pPr>
        <w:pStyle w:val="231"/>
        <w:ind w:firstLine="420"/>
        <w:rPr>
          <w:rFonts w:hint="eastAsia" w:cs="Times New Roman"/>
        </w:rPr>
      </w:pPr>
      <w:r>
        <w:rPr>
          <w:rFonts w:hint="eastAsia" w:cs="Times New Roman"/>
        </w:rPr>
        <w:t>利用化学方法和物理方法将烟气中的二氧化碳分离、提纯使之达到一定性能指标要求的过程。主要包括烟气预处理、二氧化碳吸收（吸附）与解吸（脱附）、二氧化碳压缩、二氧化碳脱水和二氧化碳液化工序。</w:t>
      </w:r>
    </w:p>
    <w:p w14:paraId="54000F9E">
      <w:pPr>
        <w:pStyle w:val="231"/>
        <w:ind w:firstLine="420"/>
        <w:rPr>
          <w:rFonts w:hint="eastAsia" w:cs="Times New Roman"/>
        </w:rPr>
      </w:pPr>
      <w:r>
        <w:rPr>
          <w:rFonts w:hint="eastAsia" w:cs="Times New Roman"/>
        </w:rPr>
        <w:t>[来源： GB/T 51316-2018，2.0.2]</w:t>
      </w:r>
    </w:p>
    <w:p w14:paraId="21640E2C">
      <w:pPr>
        <w:spacing w:line="360" w:lineRule="auto"/>
        <w:rPr>
          <w:b/>
          <w:bCs/>
          <w:szCs w:val="21"/>
        </w:rPr>
      </w:pPr>
      <w:r>
        <w:rPr>
          <w:rFonts w:hint="eastAsia"/>
          <w:b/>
          <w:bCs/>
          <w:szCs w:val="21"/>
        </w:rPr>
        <w:t>3.</w:t>
      </w:r>
      <w:r>
        <w:rPr>
          <w:b/>
          <w:bCs/>
          <w:szCs w:val="21"/>
        </w:rPr>
        <w:t>3</w:t>
      </w:r>
      <w:r>
        <w:rPr>
          <w:rFonts w:hint="eastAsia"/>
          <w:b/>
          <w:bCs/>
          <w:szCs w:val="21"/>
        </w:rPr>
        <w:t xml:space="preserve"> 化学吸收法  chemical absorption method</w:t>
      </w:r>
    </w:p>
    <w:p w14:paraId="1680656F">
      <w:pPr>
        <w:pStyle w:val="231"/>
        <w:ind w:firstLine="420"/>
        <w:rPr>
          <w:rFonts w:hint="eastAsia" w:cs="Times New Roman"/>
        </w:rPr>
      </w:pPr>
      <w:bookmarkStart w:id="26" w:name="_Hlk181910155"/>
      <w:r>
        <w:rPr>
          <w:rFonts w:hint="eastAsia" w:cs="Times New Roman"/>
        </w:rPr>
        <w:t>吸收剂与气源中的二氧化碳发生化学反应，生成化合物， 并经升温后释放出吸收的二氧化碳，完成二氧化碳与其他气体分离的方法。</w:t>
      </w:r>
    </w:p>
    <w:bookmarkEnd w:id="26"/>
    <w:p w14:paraId="56C016AF">
      <w:pPr>
        <w:pStyle w:val="231"/>
        <w:ind w:firstLine="420"/>
        <w:rPr>
          <w:rFonts w:hint="eastAsia" w:cs="Times New Roman"/>
        </w:rPr>
      </w:pPr>
      <w:r>
        <w:rPr>
          <w:rFonts w:hint="eastAsia" w:cs="Times New Roman"/>
        </w:rPr>
        <w:t>[来源： GB/T 51316-2018，2.0.4]</w:t>
      </w:r>
    </w:p>
    <w:p w14:paraId="22331CBB">
      <w:pPr>
        <w:pStyle w:val="231"/>
        <w:ind w:firstLine="0" w:firstLineChars="0"/>
        <w:rPr>
          <w:rFonts w:hint="eastAsia" w:cs="Times New Roman"/>
          <w:b/>
          <w:bCs/>
          <w:szCs w:val="21"/>
        </w:rPr>
      </w:pPr>
      <w:r>
        <w:rPr>
          <w:rFonts w:hint="eastAsia" w:cs="Times New Roman"/>
          <w:b/>
          <w:bCs/>
          <w:szCs w:val="21"/>
        </w:rPr>
        <w:t>3.</w:t>
      </w:r>
      <w:r>
        <w:rPr>
          <w:rFonts w:cs="Times New Roman"/>
          <w:b/>
          <w:bCs/>
          <w:szCs w:val="21"/>
        </w:rPr>
        <w:t>4</w:t>
      </w:r>
      <w:r>
        <w:rPr>
          <w:rFonts w:hint="eastAsia" w:cs="Times New Roman"/>
          <w:b/>
          <w:bCs/>
          <w:szCs w:val="21"/>
        </w:rPr>
        <w:t xml:space="preserve"> 物理吸收法  physical absorption method</w:t>
      </w:r>
    </w:p>
    <w:p w14:paraId="1DE1EDA7">
      <w:pPr>
        <w:pStyle w:val="231"/>
        <w:ind w:firstLine="420"/>
        <w:rPr>
          <w:rFonts w:cs="Times New Roman"/>
        </w:rPr>
      </w:pPr>
      <w:r>
        <w:rPr>
          <w:rFonts w:hint="eastAsia" w:cs="Times New Roman"/>
        </w:rPr>
        <w:t>吸收剂在一定压力条件下溶解气源中的二氧化碳，并经减压后释放出溶解的二氧化碳，完成二氧化碳与其他气体分离的方法。</w:t>
      </w:r>
    </w:p>
    <w:p w14:paraId="7F66F096">
      <w:pPr>
        <w:pStyle w:val="231"/>
        <w:ind w:firstLine="420"/>
        <w:rPr>
          <w:rFonts w:hint="eastAsia" w:cs="Times New Roman"/>
        </w:rPr>
      </w:pPr>
      <w:r>
        <w:rPr>
          <w:rFonts w:hint="eastAsia" w:cs="Times New Roman"/>
        </w:rPr>
        <w:t>[有修改]</w:t>
      </w:r>
    </w:p>
    <w:p w14:paraId="2B28B14A">
      <w:pPr>
        <w:pStyle w:val="231"/>
        <w:ind w:firstLine="0" w:firstLineChars="0"/>
        <w:rPr>
          <w:rFonts w:cs="Times New Roman"/>
          <w:b/>
          <w:bCs/>
          <w:szCs w:val="21"/>
        </w:rPr>
      </w:pPr>
      <w:r>
        <w:rPr>
          <w:rFonts w:hint="eastAsia" w:cs="Times New Roman"/>
          <w:b/>
          <w:bCs/>
          <w:szCs w:val="21"/>
        </w:rPr>
        <w:t>3.</w:t>
      </w:r>
      <w:r>
        <w:rPr>
          <w:rFonts w:cs="Times New Roman"/>
          <w:b/>
          <w:bCs/>
          <w:szCs w:val="21"/>
        </w:rPr>
        <w:t>5</w:t>
      </w:r>
      <w:r>
        <w:rPr>
          <w:rFonts w:hint="eastAsia" w:cs="Times New Roman"/>
          <w:b/>
          <w:bCs/>
          <w:szCs w:val="21"/>
        </w:rPr>
        <w:t xml:space="preserve"> 变温吸附法  Variable temperature  adsorption method</w:t>
      </w:r>
    </w:p>
    <w:p w14:paraId="53263508">
      <w:pPr>
        <w:pStyle w:val="231"/>
        <w:ind w:firstLine="420"/>
        <w:rPr>
          <w:rFonts w:hint="eastAsia" w:cs="Times New Roman"/>
        </w:rPr>
      </w:pPr>
      <w:r>
        <w:rPr>
          <w:rFonts w:hint="eastAsia" w:cs="Times New Roman"/>
        </w:rPr>
        <w:t>低温下利用多孔性固体吸附剂将二氧化碳气体吸附于其表面，随后通过再生气加热及冷吹等工序 对吸附组分解吸，达到二氧化碳与水分离的目的。</w:t>
      </w:r>
    </w:p>
    <w:p w14:paraId="7BCD42E1">
      <w:pPr>
        <w:pStyle w:val="231"/>
        <w:ind w:firstLine="420"/>
        <w:rPr>
          <w:rFonts w:hint="eastAsia" w:cs="Times New Roman"/>
        </w:rPr>
      </w:pPr>
      <w:r>
        <w:rPr>
          <w:rFonts w:hint="eastAsia" w:cs="Times New Roman"/>
        </w:rPr>
        <w:t>[来源： GB/T 51316-2018，2.0.5]</w:t>
      </w:r>
    </w:p>
    <w:p w14:paraId="0C8B9CD0">
      <w:pPr>
        <w:pStyle w:val="231"/>
        <w:spacing w:line="360" w:lineRule="auto"/>
        <w:ind w:firstLine="0" w:firstLineChars="0"/>
        <w:rPr>
          <w:rFonts w:cs="Times New Roman"/>
          <w:b/>
          <w:bCs/>
          <w:szCs w:val="21"/>
        </w:rPr>
      </w:pPr>
      <w:r>
        <w:rPr>
          <w:rFonts w:hint="eastAsia" w:cs="Times New Roman"/>
          <w:b/>
          <w:bCs/>
          <w:szCs w:val="21"/>
        </w:rPr>
        <w:t>3.</w:t>
      </w:r>
      <w:r>
        <w:rPr>
          <w:rFonts w:cs="Times New Roman"/>
          <w:b/>
          <w:bCs/>
          <w:szCs w:val="21"/>
        </w:rPr>
        <w:t>6</w:t>
      </w:r>
      <w:r>
        <w:rPr>
          <w:rFonts w:hint="eastAsia" w:cs="Times New Roman"/>
          <w:b/>
          <w:bCs/>
          <w:szCs w:val="21"/>
        </w:rPr>
        <w:t xml:space="preserve"> 变压吸附法  Pressure swing adsorption method</w:t>
      </w:r>
    </w:p>
    <w:p w14:paraId="630BA0C4">
      <w:pPr>
        <w:pStyle w:val="231"/>
        <w:ind w:firstLine="420"/>
        <w:rPr>
          <w:rFonts w:cs="Times New Roman"/>
        </w:rPr>
      </w:pPr>
      <w:r>
        <w:rPr>
          <w:rFonts w:hint="eastAsia" w:cs="Times New Roman"/>
        </w:rPr>
        <w:t>一定压力下利用多孔性固体吸附剂将二氧化碳气体吸附于其表面，随后通过减压或抽真空等工序 对吸附组分解吸，完成二氧化碳与其他气体分离的方法。</w:t>
      </w:r>
    </w:p>
    <w:p w14:paraId="50236ACD">
      <w:pPr>
        <w:pStyle w:val="231"/>
        <w:ind w:firstLine="420"/>
        <w:rPr>
          <w:rFonts w:hint="eastAsia" w:cs="Times New Roman"/>
        </w:rPr>
      </w:pPr>
      <w:r>
        <w:rPr>
          <w:rFonts w:hint="eastAsia" w:cs="Times New Roman"/>
        </w:rPr>
        <w:t>[有修改]</w:t>
      </w:r>
    </w:p>
    <w:p w14:paraId="79C50E04">
      <w:pPr>
        <w:spacing w:line="360" w:lineRule="auto"/>
        <w:rPr>
          <w:rFonts w:hint="eastAsia"/>
          <w:b/>
          <w:bCs/>
          <w:szCs w:val="21"/>
        </w:rPr>
      </w:pPr>
      <w:r>
        <w:rPr>
          <w:rFonts w:hint="eastAsia"/>
          <w:b/>
          <w:bCs/>
          <w:szCs w:val="21"/>
        </w:rPr>
        <w:t>3.</w:t>
      </w:r>
      <w:r>
        <w:rPr>
          <w:b/>
          <w:bCs/>
          <w:szCs w:val="21"/>
        </w:rPr>
        <w:t>7</w:t>
      </w:r>
      <w:r>
        <w:rPr>
          <w:rFonts w:hint="eastAsia"/>
          <w:b/>
          <w:bCs/>
          <w:szCs w:val="21"/>
        </w:rPr>
        <w:t xml:space="preserve"> 低温精馏法 low temperature distillation</w:t>
      </w:r>
    </w:p>
    <w:p w14:paraId="17B79D9A">
      <w:pPr>
        <w:pStyle w:val="231"/>
        <w:ind w:firstLine="420"/>
        <w:rPr>
          <w:rFonts w:cs="Times New Roman"/>
        </w:rPr>
      </w:pPr>
      <w:r>
        <w:rPr>
          <w:rFonts w:hint="eastAsia" w:cs="Times New Roman"/>
        </w:rPr>
        <w:t>利用二氧化碳和其他气体凝点的不同分离纯化二氧化碳的方法。</w:t>
      </w:r>
    </w:p>
    <w:p w14:paraId="7A25D104">
      <w:pPr>
        <w:pStyle w:val="231"/>
        <w:ind w:firstLine="409" w:firstLineChars="195"/>
        <w:rPr>
          <w:rFonts w:hint="eastAsia" w:cs="Times New Roman"/>
        </w:rPr>
      </w:pPr>
      <w:r>
        <w:rPr>
          <w:rFonts w:hint="eastAsia" w:cs="Times New Roman"/>
        </w:rPr>
        <w:t>[有修改]</w:t>
      </w:r>
    </w:p>
    <w:p w14:paraId="17D08FE0">
      <w:pPr>
        <w:spacing w:line="360" w:lineRule="auto"/>
        <w:rPr>
          <w:b/>
          <w:bCs/>
          <w:szCs w:val="21"/>
        </w:rPr>
      </w:pPr>
      <w:r>
        <w:rPr>
          <w:rFonts w:hint="eastAsia"/>
          <w:b/>
          <w:bCs/>
          <w:szCs w:val="21"/>
        </w:rPr>
        <w:t>3.</w:t>
      </w:r>
      <w:r>
        <w:rPr>
          <w:b/>
          <w:bCs/>
          <w:szCs w:val="21"/>
        </w:rPr>
        <w:t>8</w:t>
      </w:r>
      <w:r>
        <w:rPr>
          <w:rFonts w:hint="eastAsia"/>
          <w:b/>
          <w:bCs/>
          <w:szCs w:val="21"/>
        </w:rPr>
        <w:t xml:space="preserve"> 膜分离法  membrane separation</w:t>
      </w:r>
    </w:p>
    <w:p w14:paraId="372C3CF2">
      <w:pPr>
        <w:pStyle w:val="231"/>
        <w:ind w:firstLine="420"/>
        <w:rPr>
          <w:rFonts w:cs="Times New Roman"/>
        </w:rPr>
      </w:pPr>
      <w:r>
        <w:rPr>
          <w:rFonts w:hint="eastAsia" w:cs="Times New Roman"/>
        </w:rPr>
        <w:t>一种利用薄膜对不同气体的渗透性不同，实现二氧化碳与其他气体分离的方法。</w:t>
      </w:r>
    </w:p>
    <w:p w14:paraId="372AEF13">
      <w:pPr>
        <w:pStyle w:val="231"/>
        <w:ind w:firstLine="420"/>
        <w:rPr>
          <w:rFonts w:hint="eastAsia" w:cs="Times New Roman"/>
        </w:rPr>
      </w:pPr>
      <w:r>
        <w:rPr>
          <w:rFonts w:hint="eastAsia" w:cs="Times New Roman"/>
        </w:rPr>
        <w:t>[有修改]</w:t>
      </w:r>
    </w:p>
    <w:p w14:paraId="0522799B">
      <w:pPr>
        <w:spacing w:line="360" w:lineRule="auto"/>
        <w:rPr>
          <w:b/>
          <w:bCs/>
          <w:szCs w:val="21"/>
        </w:rPr>
      </w:pPr>
      <w:r>
        <w:rPr>
          <w:rFonts w:hint="eastAsia"/>
          <w:b/>
          <w:bCs/>
          <w:szCs w:val="21"/>
        </w:rPr>
        <w:t>3</w:t>
      </w:r>
      <w:r>
        <w:rPr>
          <w:b/>
          <w:bCs/>
          <w:szCs w:val="21"/>
        </w:rPr>
        <w:t xml:space="preserve">.9 </w:t>
      </w:r>
      <w:r>
        <w:rPr>
          <w:rFonts w:hint="eastAsia"/>
          <w:b/>
          <w:bCs/>
          <w:szCs w:val="21"/>
        </w:rPr>
        <w:t>低浓度   low concentration</w:t>
      </w:r>
    </w:p>
    <w:p w14:paraId="169FF0A6">
      <w:pPr>
        <w:pStyle w:val="231"/>
        <w:ind w:firstLine="420"/>
        <w:rPr>
          <w:rFonts w:cs="Times New Roman"/>
        </w:rPr>
      </w:pPr>
      <w:r>
        <w:rPr>
          <w:rFonts w:hint="eastAsia" w:cs="Times New Roman"/>
        </w:rPr>
        <w:t>气源中CO</w:t>
      </w:r>
      <w:r>
        <w:rPr>
          <w:rFonts w:cs="Times New Roman"/>
          <w:vertAlign w:val="subscript"/>
        </w:rPr>
        <w:t>2</w:t>
      </w:r>
      <w:r>
        <w:rPr>
          <w:rFonts w:hint="eastAsia" w:cs="Times New Roman"/>
        </w:rPr>
        <w:t>体积分数小于40%。</w:t>
      </w:r>
    </w:p>
    <w:p w14:paraId="10DFD2C5">
      <w:pPr>
        <w:pStyle w:val="231"/>
        <w:ind w:firstLine="409" w:firstLineChars="195"/>
        <w:rPr>
          <w:rFonts w:cs="Times New Roman"/>
        </w:rPr>
      </w:pPr>
      <w:r>
        <w:rPr>
          <w:rFonts w:hint="eastAsia" w:cs="Times New Roman"/>
        </w:rPr>
        <w:t>[有修改]</w:t>
      </w:r>
    </w:p>
    <w:p w14:paraId="75A58776">
      <w:pPr>
        <w:spacing w:line="360" w:lineRule="auto"/>
        <w:rPr>
          <w:b/>
          <w:bCs/>
          <w:szCs w:val="21"/>
        </w:rPr>
      </w:pPr>
      <w:r>
        <w:rPr>
          <w:rFonts w:hint="eastAsia"/>
          <w:b/>
          <w:bCs/>
          <w:szCs w:val="21"/>
        </w:rPr>
        <w:t>3</w:t>
      </w:r>
      <w:r>
        <w:rPr>
          <w:b/>
          <w:bCs/>
          <w:szCs w:val="21"/>
        </w:rPr>
        <w:t xml:space="preserve">.10 </w:t>
      </w:r>
      <w:r>
        <w:rPr>
          <w:rFonts w:hint="eastAsia"/>
          <w:b/>
          <w:bCs/>
          <w:szCs w:val="21"/>
        </w:rPr>
        <w:t>中浓度   low concentration</w:t>
      </w:r>
    </w:p>
    <w:p w14:paraId="6A4AA709">
      <w:pPr>
        <w:pStyle w:val="231"/>
        <w:ind w:firstLine="409" w:firstLineChars="195"/>
        <w:rPr>
          <w:rFonts w:cs="Times New Roman"/>
        </w:rPr>
      </w:pPr>
      <w:r>
        <w:rPr>
          <w:rFonts w:hint="eastAsia" w:cs="Times New Roman"/>
        </w:rPr>
        <w:t>气源中CO</w:t>
      </w:r>
      <w:r>
        <w:rPr>
          <w:rFonts w:cs="Times New Roman"/>
          <w:vertAlign w:val="subscript"/>
        </w:rPr>
        <w:t>2</w:t>
      </w:r>
      <w:r>
        <w:rPr>
          <w:rFonts w:hint="eastAsia" w:cs="Times New Roman"/>
        </w:rPr>
        <w:t>体积分数大于等于4</w:t>
      </w:r>
      <w:r>
        <w:rPr>
          <w:rFonts w:cs="Times New Roman"/>
        </w:rPr>
        <w:t>0%</w:t>
      </w:r>
      <w:r>
        <w:rPr>
          <w:rFonts w:hint="eastAsia" w:cs="Times New Roman"/>
        </w:rPr>
        <w:t>小于等于</w:t>
      </w:r>
      <w:r>
        <w:rPr>
          <w:rFonts w:cs="Times New Roman"/>
        </w:rPr>
        <w:t>8</w:t>
      </w:r>
      <w:r>
        <w:rPr>
          <w:rFonts w:hint="eastAsia" w:cs="Times New Roman"/>
        </w:rPr>
        <w:t>0%。</w:t>
      </w:r>
    </w:p>
    <w:p w14:paraId="4CF6F722">
      <w:pPr>
        <w:pStyle w:val="231"/>
        <w:ind w:firstLine="409" w:firstLineChars="195"/>
        <w:rPr>
          <w:rFonts w:hint="eastAsia" w:cs="Times New Roman"/>
        </w:rPr>
      </w:pPr>
      <w:r>
        <w:rPr>
          <w:rFonts w:hint="eastAsia" w:cs="Times New Roman"/>
        </w:rPr>
        <w:t>[有修改]</w:t>
      </w:r>
    </w:p>
    <w:p w14:paraId="3973BEA6">
      <w:pPr>
        <w:spacing w:line="360" w:lineRule="auto"/>
        <w:rPr>
          <w:b/>
          <w:bCs/>
          <w:szCs w:val="21"/>
        </w:rPr>
      </w:pPr>
      <w:r>
        <w:rPr>
          <w:rFonts w:hint="eastAsia"/>
          <w:b/>
          <w:bCs/>
          <w:szCs w:val="21"/>
        </w:rPr>
        <w:t>3.</w:t>
      </w:r>
      <w:r>
        <w:rPr>
          <w:b/>
          <w:bCs/>
          <w:szCs w:val="21"/>
        </w:rPr>
        <w:t>11</w:t>
      </w:r>
      <w:r>
        <w:rPr>
          <w:rFonts w:hint="eastAsia"/>
          <w:b/>
          <w:bCs/>
          <w:szCs w:val="21"/>
        </w:rPr>
        <w:t xml:space="preserve"> CO</w:t>
      </w:r>
      <w:r>
        <w:rPr>
          <w:rFonts w:hint="eastAsia"/>
          <w:b/>
          <w:bCs/>
          <w:szCs w:val="21"/>
          <w:vertAlign w:val="subscript"/>
        </w:rPr>
        <w:t>2</w:t>
      </w:r>
      <w:r>
        <w:rPr>
          <w:rFonts w:hint="eastAsia"/>
          <w:b/>
          <w:bCs/>
          <w:szCs w:val="21"/>
        </w:rPr>
        <w:t>捕集率  CO</w:t>
      </w:r>
      <w:r>
        <w:rPr>
          <w:rFonts w:hint="eastAsia"/>
          <w:b/>
          <w:bCs/>
          <w:szCs w:val="21"/>
          <w:vertAlign w:val="subscript"/>
        </w:rPr>
        <w:t>2</w:t>
      </w:r>
      <w:r>
        <w:rPr>
          <w:rFonts w:hint="eastAsia"/>
          <w:b/>
          <w:bCs/>
          <w:szCs w:val="21"/>
        </w:rPr>
        <w:t xml:space="preserve"> capture efficiency</w:t>
      </w:r>
    </w:p>
    <w:p w14:paraId="2865C457">
      <w:pPr>
        <w:pStyle w:val="231"/>
        <w:ind w:firstLine="420"/>
        <w:rPr>
          <w:rFonts w:cs="Times New Roman"/>
        </w:rPr>
      </w:pPr>
      <w:r>
        <w:rPr>
          <w:rFonts w:hint="eastAsia" w:cs="Times New Roman"/>
        </w:rPr>
        <w:t>CO</w:t>
      </w:r>
      <w:r>
        <w:rPr>
          <w:rFonts w:cs="Times New Roman"/>
          <w:vertAlign w:val="subscript"/>
        </w:rPr>
        <w:t>2</w:t>
      </w:r>
      <w:r>
        <w:rPr>
          <w:rFonts w:hint="eastAsia" w:cs="Times New Roman"/>
        </w:rPr>
        <w:t>捕集设备捕集后的 CO</w:t>
      </w:r>
      <w:r>
        <w:rPr>
          <w:rFonts w:cs="Times New Roman"/>
          <w:vertAlign w:val="subscript"/>
        </w:rPr>
        <w:t>2</w:t>
      </w:r>
      <w:r>
        <w:rPr>
          <w:rFonts w:hint="eastAsia" w:cs="Times New Roman"/>
        </w:rPr>
        <w:t>质量流量与CO</w:t>
      </w:r>
      <w:r>
        <w:rPr>
          <w:rFonts w:cs="Times New Roman"/>
          <w:vertAlign w:val="subscript"/>
        </w:rPr>
        <w:t>2</w:t>
      </w:r>
      <w:r>
        <w:rPr>
          <w:rFonts w:hint="eastAsia" w:cs="Times New Roman"/>
        </w:rPr>
        <w:t>捕集设备入口CO</w:t>
      </w:r>
      <w:r>
        <w:rPr>
          <w:rFonts w:cs="Times New Roman"/>
          <w:vertAlign w:val="subscript"/>
        </w:rPr>
        <w:t>2</w:t>
      </w:r>
      <w:r>
        <w:rPr>
          <w:rFonts w:hint="eastAsia" w:cs="Times New Roman"/>
        </w:rPr>
        <w:t>质量流量之比。</w:t>
      </w:r>
    </w:p>
    <w:p w14:paraId="632A15DF">
      <w:pPr>
        <w:pStyle w:val="231"/>
        <w:ind w:firstLine="409" w:firstLineChars="195"/>
        <w:rPr>
          <w:rFonts w:hint="eastAsia" w:cs="Times New Roman"/>
        </w:rPr>
      </w:pPr>
      <w:r>
        <w:rPr>
          <w:rFonts w:hint="eastAsia" w:cs="Times New Roman"/>
        </w:rPr>
        <w:t>[有修改]</w:t>
      </w:r>
    </w:p>
    <w:p w14:paraId="6095E4CD">
      <w:pPr>
        <w:pStyle w:val="231"/>
        <w:ind w:firstLine="0" w:firstLineChars="0"/>
        <w:rPr>
          <w:rFonts w:eastAsia="Yu Mincho" w:cs="Times New Roman"/>
          <w:lang w:eastAsia="ja-JP"/>
        </w:rPr>
      </w:pPr>
      <w:r>
        <w:rPr>
          <w:rFonts w:hint="eastAsia"/>
          <w:b/>
          <w:bCs/>
          <w:szCs w:val="21"/>
        </w:rPr>
        <w:t>3.</w:t>
      </w:r>
      <w:r>
        <w:rPr>
          <w:b/>
          <w:bCs/>
          <w:szCs w:val="21"/>
        </w:rPr>
        <w:t>12</w:t>
      </w:r>
      <w:r>
        <w:rPr>
          <w:rFonts w:hint="eastAsia"/>
          <w:b/>
          <w:bCs/>
          <w:szCs w:val="21"/>
        </w:rPr>
        <w:t xml:space="preserve"> 再生能耗  regeneration energy consumption</w:t>
      </w:r>
    </w:p>
    <w:p w14:paraId="71776FAD">
      <w:pPr>
        <w:pStyle w:val="231"/>
        <w:ind w:firstLine="420"/>
        <w:rPr>
          <w:rFonts w:cs="Times New Roman"/>
        </w:rPr>
      </w:pPr>
      <w:r>
        <w:rPr>
          <w:rFonts w:hint="eastAsia" w:cs="Times New Roman"/>
        </w:rPr>
        <w:t>解吸塔/解吸反应器分离出CO</w:t>
      </w:r>
      <w:r>
        <w:rPr>
          <w:rFonts w:hint="eastAsia" w:cs="Times New Roman"/>
          <w:vertAlign w:val="subscript"/>
        </w:rPr>
        <w:t>2</w:t>
      </w:r>
      <w:r>
        <w:rPr>
          <w:rFonts w:hint="eastAsia" w:cs="Times New Roman"/>
        </w:rPr>
        <w:t>的过程中，消耗的蒸汽或电量所折算的热值。</w:t>
      </w:r>
    </w:p>
    <w:p w14:paraId="0E042C92">
      <w:pPr>
        <w:pStyle w:val="231"/>
        <w:ind w:firstLine="409" w:firstLineChars="195"/>
        <w:rPr>
          <w:rFonts w:hint="eastAsia" w:cs="Times New Roman"/>
        </w:rPr>
      </w:pPr>
      <w:r>
        <w:rPr>
          <w:rFonts w:hint="eastAsia" w:cs="Times New Roman"/>
        </w:rPr>
        <w:t>[有修改]</w:t>
      </w:r>
    </w:p>
    <w:p w14:paraId="07E2E956">
      <w:pPr>
        <w:keepNext/>
        <w:keepLines/>
        <w:spacing w:before="120" w:after="120"/>
        <w:outlineLvl w:val="0"/>
        <w:rPr>
          <w:b/>
          <w:bCs/>
          <w:kern w:val="44"/>
          <w:szCs w:val="44"/>
        </w:rPr>
      </w:pPr>
      <w:r>
        <w:rPr>
          <w:rFonts w:hint="eastAsia"/>
          <w:b/>
          <w:bCs/>
          <w:kern w:val="44"/>
          <w:szCs w:val="44"/>
        </w:rPr>
        <w:t>4 技术要求</w:t>
      </w:r>
      <w:bookmarkEnd w:id="20"/>
      <w:bookmarkEnd w:id="21"/>
      <w:bookmarkEnd w:id="22"/>
      <w:bookmarkEnd w:id="23"/>
      <w:bookmarkEnd w:id="24"/>
      <w:bookmarkEnd w:id="25"/>
    </w:p>
    <w:p w14:paraId="271E4144">
      <w:pPr>
        <w:spacing w:line="360" w:lineRule="auto"/>
        <w:ind w:firstLine="420" w:firstLineChars="200"/>
        <w:rPr>
          <w:szCs w:val="21"/>
        </w:rPr>
      </w:pPr>
      <w:bookmarkStart w:id="27" w:name="_Toc515069366"/>
      <w:r>
        <w:rPr>
          <w:szCs w:val="21"/>
        </w:rPr>
        <w:t>炼油行业排放的二氧化碳捕集技术，主要包括化学吸收法、固体吸附法、膜分离法。选择方法主要由原料气的压力、二氧化碳的含量来确定。根据原料气的组成和流量，结合操作压力及产品所要求达到的指标，应提出可供选择的碳捕集工艺方法。</w:t>
      </w:r>
    </w:p>
    <w:p w14:paraId="4EBA89F2">
      <w:pPr>
        <w:spacing w:line="360" w:lineRule="auto"/>
        <w:ind w:firstLine="420" w:firstLineChars="200"/>
        <w:rPr>
          <w:szCs w:val="21"/>
        </w:rPr>
      </w:pPr>
      <w:r>
        <w:rPr>
          <w:szCs w:val="21"/>
        </w:rPr>
        <w:t>应根据炼油行业排放二氧化碳实际情况列出工艺方法比选表，参见表1，提出推荐的工艺方法。</w:t>
      </w:r>
    </w:p>
    <w:p w14:paraId="654AE440">
      <w:pPr>
        <w:spacing w:line="360" w:lineRule="auto"/>
        <w:jc w:val="center"/>
        <w:rPr>
          <w:szCs w:val="21"/>
        </w:rPr>
      </w:pPr>
      <w:r>
        <w:rPr>
          <w:szCs w:val="21"/>
        </w:rPr>
        <w:t>表1. 炼油行业二氧化碳捕集方法综合评价</w:t>
      </w:r>
    </w:p>
    <w:tbl>
      <w:tblPr>
        <w:tblStyle w:val="50"/>
        <w:tblW w:w="513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413"/>
        <w:gridCol w:w="3491"/>
      </w:tblGrid>
      <w:tr w14:paraId="7176C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979" w:type="pct"/>
            <w:noWrap w:val="0"/>
            <w:vAlign w:val="center"/>
          </w:tcPr>
          <w:p w14:paraId="64438664">
            <w:pPr>
              <w:ind w:left="420"/>
              <w:jc w:val="left"/>
              <w:rPr>
                <w:rFonts w:hint="default" w:ascii="Times New Roman" w:hAnsi="Times New Roman" w:cs="Times New Roman"/>
                <w:sz w:val="21"/>
                <w:szCs w:val="21"/>
              </w:rPr>
            </w:pPr>
            <w:r>
              <w:rPr>
                <w:rFonts w:hint="default" w:ascii="Times New Roman" w:hAnsi="Times New Roman" w:cs="Times New Roman"/>
                <w:sz w:val="21"/>
                <w:szCs w:val="21"/>
              </w:rPr>
              <w:t>捕集纯化方法</w:t>
            </w:r>
          </w:p>
        </w:tc>
        <w:tc>
          <w:tcPr>
            <w:tcW w:w="2245" w:type="pct"/>
            <w:noWrap w:val="0"/>
            <w:vAlign w:val="center"/>
          </w:tcPr>
          <w:p w14:paraId="0A29C10B">
            <w:pPr>
              <w:ind w:left="0" w:leftChars="0"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优点</w:t>
            </w:r>
          </w:p>
        </w:tc>
        <w:tc>
          <w:tcPr>
            <w:tcW w:w="1776" w:type="pct"/>
            <w:noWrap w:val="0"/>
            <w:vAlign w:val="center"/>
          </w:tcPr>
          <w:p w14:paraId="12E4F1EF">
            <w:pPr>
              <w:ind w:left="0" w:leftChars="0"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缺点</w:t>
            </w:r>
          </w:p>
        </w:tc>
      </w:tr>
      <w:tr w14:paraId="6133F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pct"/>
            <w:noWrap w:val="0"/>
            <w:vAlign w:val="center"/>
          </w:tcPr>
          <w:p w14:paraId="77EB45FF">
            <w:pPr>
              <w:ind w:left="420"/>
              <w:jc w:val="left"/>
              <w:rPr>
                <w:rFonts w:hint="default" w:ascii="Times New Roman" w:hAnsi="Times New Roman" w:cs="Times New Roman"/>
                <w:sz w:val="21"/>
                <w:szCs w:val="21"/>
              </w:rPr>
            </w:pPr>
            <w:r>
              <w:rPr>
                <w:rFonts w:hint="default" w:ascii="Times New Roman" w:hAnsi="Times New Roman" w:cs="Times New Roman"/>
                <w:sz w:val="21"/>
                <w:szCs w:val="21"/>
              </w:rPr>
              <w:t>化学吸收法</w:t>
            </w:r>
          </w:p>
        </w:tc>
        <w:tc>
          <w:tcPr>
            <w:tcW w:w="2245" w:type="pct"/>
            <w:noWrap w:val="0"/>
            <w:vAlign w:val="center"/>
          </w:tcPr>
          <w:p w14:paraId="3EC28545">
            <w:pPr>
              <w:pStyle w:val="176"/>
              <w:numPr>
                <w:ilvl w:val="0"/>
                <w:numId w:val="23"/>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现阶段最具规模化应用前景的燃烧后碳捕集技术，技术成熟度和安全性较高，国际上已经完成工业示范和商业运行；</w:t>
            </w:r>
          </w:p>
          <w:p w14:paraId="7780A124">
            <w:pPr>
              <w:pStyle w:val="176"/>
              <w:numPr>
                <w:ilvl w:val="0"/>
                <w:numId w:val="23"/>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可直接应用于燃煤/燃气、工业锅炉等烟气CO</w:t>
            </w:r>
            <w:r>
              <w:rPr>
                <w:rFonts w:hint="default" w:ascii="Times New Roman" w:hAnsi="Times New Roman" w:cs="Times New Roman"/>
                <w:sz w:val="21"/>
                <w:szCs w:val="21"/>
                <w:vertAlign w:val="subscript"/>
              </w:rPr>
              <w:t>2</w:t>
            </w:r>
            <w:r>
              <w:rPr>
                <w:rFonts w:hint="default" w:ascii="Times New Roman" w:hAnsi="Times New Roman" w:cs="Times New Roman"/>
                <w:sz w:val="21"/>
                <w:szCs w:val="21"/>
              </w:rPr>
              <w:t>大规模减排；</w:t>
            </w:r>
          </w:p>
          <w:p w14:paraId="134DA618">
            <w:pPr>
              <w:pStyle w:val="176"/>
              <w:numPr>
                <w:ilvl w:val="0"/>
                <w:numId w:val="23"/>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CO</w:t>
            </w:r>
            <w:r>
              <w:rPr>
                <w:rFonts w:hint="default" w:ascii="Times New Roman" w:hAnsi="Times New Roman" w:cs="Times New Roman"/>
                <w:sz w:val="21"/>
                <w:szCs w:val="21"/>
                <w:vertAlign w:val="subscript"/>
              </w:rPr>
              <w:t>2</w:t>
            </w:r>
            <w:r>
              <w:rPr>
                <w:rFonts w:hint="default" w:ascii="Times New Roman" w:hAnsi="Times New Roman" w:cs="Times New Roman"/>
                <w:sz w:val="21"/>
                <w:szCs w:val="21"/>
              </w:rPr>
              <w:t>捕集率高，CO</w:t>
            </w:r>
            <w:r>
              <w:rPr>
                <w:rFonts w:hint="default" w:ascii="Times New Roman" w:hAnsi="Times New Roman" w:cs="Times New Roman"/>
                <w:sz w:val="21"/>
                <w:szCs w:val="21"/>
                <w:vertAlign w:val="subscript"/>
              </w:rPr>
              <w:t>2</w:t>
            </w:r>
            <w:r>
              <w:rPr>
                <w:rFonts w:hint="default" w:ascii="Times New Roman" w:hAnsi="Times New Roman" w:cs="Times New Roman"/>
                <w:sz w:val="21"/>
                <w:szCs w:val="21"/>
              </w:rPr>
              <w:t>产品纯度高；</w:t>
            </w:r>
          </w:p>
          <w:p w14:paraId="02272E9F">
            <w:pPr>
              <w:pStyle w:val="176"/>
              <w:numPr>
                <w:ilvl w:val="0"/>
                <w:numId w:val="23"/>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高压条件下具有物理吸附特性、吸收能力强；</w:t>
            </w:r>
          </w:p>
          <w:p w14:paraId="2C02CC76">
            <w:pPr>
              <w:pStyle w:val="176"/>
              <w:numPr>
                <w:ilvl w:val="0"/>
                <w:numId w:val="23"/>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反应解吸温度低；</w:t>
            </w:r>
          </w:p>
          <w:p w14:paraId="30365CCE">
            <w:pPr>
              <w:pStyle w:val="176"/>
              <w:numPr>
                <w:ilvl w:val="0"/>
                <w:numId w:val="23"/>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造成的环境污染小且可控</w:t>
            </w:r>
          </w:p>
        </w:tc>
        <w:tc>
          <w:tcPr>
            <w:tcW w:w="1776" w:type="pct"/>
            <w:noWrap w:val="0"/>
            <w:vAlign w:val="center"/>
          </w:tcPr>
          <w:p w14:paraId="69AD3677">
            <w:pPr>
              <w:pStyle w:val="176"/>
              <w:numPr>
                <w:ilvl w:val="0"/>
                <w:numId w:val="24"/>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胺液易氧化降解；</w:t>
            </w:r>
          </w:p>
          <w:p w14:paraId="5E9D14A1">
            <w:pPr>
              <w:pStyle w:val="176"/>
              <w:numPr>
                <w:ilvl w:val="0"/>
                <w:numId w:val="24"/>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胺逃逸造成环境二次污染；</w:t>
            </w:r>
          </w:p>
          <w:p w14:paraId="43EC4696">
            <w:pPr>
              <w:pStyle w:val="176"/>
              <w:numPr>
                <w:ilvl w:val="0"/>
                <w:numId w:val="24"/>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低压条件下吸收能力小；</w:t>
            </w:r>
          </w:p>
          <w:p w14:paraId="1796D33F">
            <w:pPr>
              <w:pStyle w:val="176"/>
              <w:numPr>
                <w:ilvl w:val="0"/>
                <w:numId w:val="24"/>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溶液循环量大；能耗较高；</w:t>
            </w:r>
          </w:p>
          <w:p w14:paraId="1569D355">
            <w:pPr>
              <w:pStyle w:val="176"/>
              <w:numPr>
                <w:ilvl w:val="0"/>
                <w:numId w:val="24"/>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吸收剂消耗大；</w:t>
            </w:r>
          </w:p>
          <w:p w14:paraId="7D74F88F">
            <w:pPr>
              <w:pStyle w:val="176"/>
              <w:numPr>
                <w:ilvl w:val="0"/>
                <w:numId w:val="24"/>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有机胺呈弱碱性和腐蚀性，对人员的安全和 健康造成一定影响，腐蚀性会造成设备损坏。</w:t>
            </w:r>
          </w:p>
          <w:p w14:paraId="0BC55472">
            <w:pPr>
              <w:pStyle w:val="176"/>
              <w:ind w:left="420" w:firstLine="0" w:firstLineChars="0"/>
              <w:jc w:val="left"/>
              <w:rPr>
                <w:rFonts w:hint="default" w:ascii="Times New Roman" w:hAnsi="Times New Roman" w:cs="Times New Roman"/>
                <w:sz w:val="21"/>
                <w:szCs w:val="21"/>
              </w:rPr>
            </w:pPr>
          </w:p>
        </w:tc>
      </w:tr>
      <w:tr w14:paraId="619B1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pct"/>
            <w:noWrap w:val="0"/>
            <w:vAlign w:val="center"/>
          </w:tcPr>
          <w:p w14:paraId="4317821D">
            <w:pPr>
              <w:ind w:left="420"/>
              <w:jc w:val="left"/>
              <w:rPr>
                <w:rFonts w:hint="default" w:ascii="Times New Roman" w:hAnsi="Times New Roman" w:cs="Times New Roman"/>
                <w:sz w:val="21"/>
                <w:szCs w:val="21"/>
              </w:rPr>
            </w:pPr>
            <w:r>
              <w:rPr>
                <w:rFonts w:hint="default" w:ascii="Times New Roman" w:hAnsi="Times New Roman" w:cs="Times New Roman"/>
                <w:sz w:val="21"/>
                <w:szCs w:val="21"/>
              </w:rPr>
              <w:t>物理</w:t>
            </w:r>
            <w:r>
              <w:rPr>
                <w:rFonts w:hint="default" w:ascii="Times New Roman" w:hAnsi="Times New Roman" w:cs="Times New Roman"/>
                <w:sz w:val="21"/>
                <w:szCs w:val="21"/>
                <w:lang w:val="en-US" w:eastAsia="zh-CN"/>
              </w:rPr>
              <w:t>吸收</w:t>
            </w:r>
            <w:r>
              <w:rPr>
                <w:rFonts w:hint="default" w:ascii="Times New Roman" w:hAnsi="Times New Roman" w:cs="Times New Roman"/>
                <w:sz w:val="21"/>
                <w:szCs w:val="21"/>
              </w:rPr>
              <w:t>法</w:t>
            </w:r>
          </w:p>
        </w:tc>
        <w:tc>
          <w:tcPr>
            <w:tcW w:w="2245" w:type="pct"/>
            <w:noWrap w:val="0"/>
            <w:vAlign w:val="center"/>
          </w:tcPr>
          <w:p w14:paraId="36FE63AF">
            <w:pPr>
              <w:pStyle w:val="176"/>
              <w:ind w:firstLine="0" w:firstLineChars="0"/>
              <w:jc w:val="left"/>
              <w:rPr>
                <w:rFonts w:hint="default" w:ascii="Times New Roman" w:hAnsi="Times New Roman" w:cs="Times New Roman"/>
                <w:sz w:val="21"/>
                <w:szCs w:val="21"/>
              </w:rPr>
            </w:pPr>
            <w:r>
              <w:rPr>
                <w:rFonts w:hint="default" w:ascii="Times New Roman" w:hAnsi="Times New Roman" w:cs="Times New Roman"/>
                <w:sz w:val="21"/>
                <w:szCs w:val="21"/>
              </w:rPr>
              <w:t>（1）工艺流程简单、能耗低、成本可控；</w:t>
            </w:r>
          </w:p>
          <w:p w14:paraId="6247FDC7">
            <w:pPr>
              <w:pStyle w:val="176"/>
              <w:ind w:firstLine="0" w:firstLineChars="0"/>
              <w:jc w:val="left"/>
              <w:rPr>
                <w:rFonts w:hint="default" w:ascii="Times New Roman" w:hAnsi="Times New Roman" w:cs="Times New Roman"/>
                <w:sz w:val="21"/>
                <w:szCs w:val="21"/>
              </w:rPr>
            </w:pPr>
            <w:r>
              <w:rPr>
                <w:rFonts w:hint="default" w:ascii="Times New Roman" w:hAnsi="Times New Roman" w:cs="Times New Roman"/>
                <w:sz w:val="21"/>
                <w:szCs w:val="21"/>
              </w:rPr>
              <w:t>（2）吸收效率高：物理吸收方法通常具有较高的CO</w:t>
            </w:r>
            <w:r>
              <w:rPr>
                <w:rFonts w:hint="default" w:ascii="Times New Roman" w:hAnsi="Times New Roman" w:cs="Times New Roman"/>
                <w:sz w:val="21"/>
                <w:szCs w:val="21"/>
                <w:vertAlign w:val="subscript"/>
              </w:rPr>
              <w:t>2</w:t>
            </w:r>
            <w:r>
              <w:rPr>
                <w:rFonts w:hint="default" w:ascii="Times New Roman" w:hAnsi="Times New Roman" w:cs="Times New Roman"/>
                <w:sz w:val="21"/>
                <w:szCs w:val="21"/>
              </w:rPr>
              <w:t>吸收效率，能够快速地从气源中分离出CO</w:t>
            </w:r>
            <w:r>
              <w:rPr>
                <w:rFonts w:hint="default" w:ascii="Times New Roman" w:hAnsi="Times New Roman" w:cs="Times New Roman"/>
                <w:sz w:val="21"/>
                <w:szCs w:val="21"/>
                <w:vertAlign w:val="subscript"/>
              </w:rPr>
              <w:t>2</w:t>
            </w:r>
            <w:r>
              <w:rPr>
                <w:rFonts w:hint="default" w:ascii="Times New Roman" w:hAnsi="Times New Roman" w:cs="Times New Roman"/>
                <w:sz w:val="21"/>
                <w:szCs w:val="21"/>
              </w:rPr>
              <w:t>；</w:t>
            </w:r>
          </w:p>
          <w:p w14:paraId="46DC7074">
            <w:pPr>
              <w:pStyle w:val="176"/>
              <w:ind w:firstLine="0" w:firstLineChars="0"/>
              <w:jc w:val="left"/>
              <w:rPr>
                <w:rFonts w:hint="default" w:ascii="Times New Roman" w:hAnsi="Times New Roman" w:cs="Times New Roman"/>
                <w:sz w:val="21"/>
                <w:szCs w:val="21"/>
              </w:rPr>
            </w:pPr>
            <w:r>
              <w:rPr>
                <w:rFonts w:hint="default" w:ascii="Times New Roman" w:hAnsi="Times New Roman" w:cs="Times New Roman"/>
                <w:sz w:val="21"/>
                <w:szCs w:val="21"/>
              </w:rPr>
              <w:t>（3）操作简便：相比于一些复杂的化学吸收方法，物理吸收法的操作过程相对简单，更容易实现大规模生产；</w:t>
            </w:r>
          </w:p>
          <w:p w14:paraId="5A1C406F">
            <w:pPr>
              <w:pStyle w:val="176"/>
              <w:ind w:firstLine="0" w:firstLineChars="0"/>
              <w:jc w:val="left"/>
              <w:rPr>
                <w:rFonts w:hint="default" w:ascii="Times New Roman" w:hAnsi="Times New Roman" w:cs="Times New Roman"/>
                <w:sz w:val="21"/>
                <w:szCs w:val="21"/>
              </w:rPr>
            </w:pPr>
            <w:r>
              <w:rPr>
                <w:rFonts w:hint="default" w:ascii="Times New Roman" w:hAnsi="Times New Roman" w:cs="Times New Roman"/>
                <w:sz w:val="21"/>
                <w:szCs w:val="21"/>
              </w:rPr>
              <w:t>（4）便于重复使用：有些物理吸收材料可以重复使用，成本低，经济效益好。</w:t>
            </w:r>
          </w:p>
          <w:p w14:paraId="1BC10149">
            <w:pPr>
              <w:pStyle w:val="176"/>
              <w:ind w:firstLine="0" w:firstLineChars="0"/>
              <w:jc w:val="left"/>
              <w:rPr>
                <w:rFonts w:hint="default" w:ascii="Times New Roman" w:hAnsi="Times New Roman" w:cs="Times New Roman"/>
                <w:sz w:val="21"/>
                <w:szCs w:val="21"/>
              </w:rPr>
            </w:pPr>
          </w:p>
        </w:tc>
        <w:tc>
          <w:tcPr>
            <w:tcW w:w="1776" w:type="pct"/>
            <w:noWrap w:val="0"/>
            <w:vAlign w:val="center"/>
          </w:tcPr>
          <w:p w14:paraId="051A9FAC">
            <w:pPr>
              <w:pStyle w:val="254"/>
              <w:ind w:firstLine="0" w:firstLineChars="0"/>
              <w:jc w:val="left"/>
              <w:rPr>
                <w:rFonts w:hint="default" w:ascii="Times New Roman" w:hAnsi="Times New Roman" w:cs="Times New Roman"/>
                <w:sz w:val="21"/>
                <w:szCs w:val="21"/>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吸收</w:t>
            </w:r>
            <w:r>
              <w:rPr>
                <w:rFonts w:hint="default" w:ascii="Times New Roman" w:hAnsi="Times New Roman" w:cs="Times New Roman"/>
                <w:sz w:val="21"/>
                <w:szCs w:val="21"/>
              </w:rPr>
              <w:t>材料成本高：某些物理吸收材料价格昂贵，可能会增加捕集成本；</w:t>
            </w:r>
          </w:p>
          <w:p w14:paraId="1AA5B8F9">
            <w:pPr>
              <w:pStyle w:val="254"/>
              <w:ind w:firstLine="0" w:firstLineChars="0"/>
              <w:jc w:val="left"/>
              <w:rPr>
                <w:rFonts w:hint="default" w:ascii="Times New Roman" w:hAnsi="Times New Roman" w:cs="Times New Roman"/>
                <w:sz w:val="21"/>
                <w:szCs w:val="21"/>
              </w:rPr>
            </w:pPr>
            <w:r>
              <w:rPr>
                <w:rFonts w:hint="default" w:ascii="Times New Roman" w:hAnsi="Times New Roman" w:cs="Times New Roman"/>
                <w:sz w:val="21"/>
                <w:szCs w:val="21"/>
              </w:rPr>
              <w:t>（2）</w:t>
            </w:r>
            <w:r>
              <w:rPr>
                <w:rFonts w:hint="default" w:ascii="Times New Roman" w:hAnsi="Times New Roman" w:cs="Times New Roman"/>
                <w:sz w:val="21"/>
                <w:szCs w:val="21"/>
                <w:lang w:val="en-US" w:eastAsia="zh-CN"/>
              </w:rPr>
              <w:t>吸收</w:t>
            </w:r>
            <w:r>
              <w:rPr>
                <w:rFonts w:hint="default" w:ascii="Times New Roman" w:hAnsi="Times New Roman" w:cs="Times New Roman"/>
                <w:sz w:val="21"/>
                <w:szCs w:val="21"/>
              </w:rPr>
              <w:t>容量有限：物理吸收材料的吸附容量有限，需要定期更换或再生，增加了维护成本；</w:t>
            </w:r>
          </w:p>
          <w:p w14:paraId="7D18E889">
            <w:pPr>
              <w:pStyle w:val="254"/>
              <w:ind w:firstLine="0" w:firstLineChars="0"/>
              <w:jc w:val="left"/>
              <w:rPr>
                <w:rFonts w:hint="default" w:ascii="Times New Roman" w:hAnsi="Times New Roman" w:cs="Times New Roman"/>
                <w:sz w:val="21"/>
                <w:szCs w:val="21"/>
              </w:rPr>
            </w:pPr>
            <w:r>
              <w:rPr>
                <w:rFonts w:hint="default" w:ascii="Times New Roman" w:hAnsi="Times New Roman" w:cs="Times New Roman"/>
                <w:sz w:val="21"/>
                <w:szCs w:val="21"/>
              </w:rPr>
              <w:t>（3）对CO</w:t>
            </w:r>
            <w:r>
              <w:rPr>
                <w:rFonts w:hint="default" w:ascii="Times New Roman" w:hAnsi="Times New Roman" w:cs="Times New Roman"/>
                <w:sz w:val="21"/>
                <w:szCs w:val="21"/>
                <w:vertAlign w:val="subscript"/>
              </w:rPr>
              <w:t>2</w:t>
            </w:r>
            <w:r>
              <w:rPr>
                <w:rFonts w:hint="default" w:ascii="Times New Roman" w:hAnsi="Times New Roman" w:cs="Times New Roman"/>
                <w:sz w:val="21"/>
                <w:szCs w:val="21"/>
              </w:rPr>
              <w:t>的捕集选择性较低：物理吸收法对CO</w:t>
            </w:r>
            <w:r>
              <w:rPr>
                <w:rFonts w:hint="default" w:ascii="Times New Roman" w:hAnsi="Times New Roman" w:cs="Times New Roman"/>
                <w:sz w:val="21"/>
                <w:szCs w:val="21"/>
                <w:vertAlign w:val="subscript"/>
              </w:rPr>
              <w:t>2</w:t>
            </w:r>
            <w:r>
              <w:rPr>
                <w:rFonts w:hint="default" w:ascii="Times New Roman" w:hAnsi="Times New Roman" w:cs="Times New Roman"/>
                <w:sz w:val="21"/>
                <w:szCs w:val="21"/>
              </w:rPr>
              <w:t>的捕集选择性相对较低，可能会导致部分非目标气体的捕集。</w:t>
            </w:r>
          </w:p>
        </w:tc>
      </w:tr>
      <w:tr w14:paraId="7A35F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pct"/>
            <w:noWrap w:val="0"/>
            <w:vAlign w:val="center"/>
          </w:tcPr>
          <w:p w14:paraId="27EA9788">
            <w:pPr>
              <w:ind w:left="420"/>
              <w:jc w:val="left"/>
              <w:rPr>
                <w:rFonts w:hint="default" w:ascii="Times New Roman" w:hAnsi="Times New Roman" w:cs="Times New Roman"/>
                <w:sz w:val="21"/>
                <w:szCs w:val="21"/>
              </w:rPr>
            </w:pPr>
            <w:r>
              <w:rPr>
                <w:rFonts w:hint="default" w:ascii="Times New Roman" w:hAnsi="Times New Roman" w:cs="Times New Roman"/>
                <w:sz w:val="21"/>
                <w:szCs w:val="21"/>
              </w:rPr>
              <w:t>变温吸附法</w:t>
            </w:r>
          </w:p>
        </w:tc>
        <w:tc>
          <w:tcPr>
            <w:tcW w:w="2245" w:type="pct"/>
            <w:noWrap w:val="0"/>
            <w:vAlign w:val="center"/>
          </w:tcPr>
          <w:p w14:paraId="5F9A9C5D">
            <w:pPr>
              <w:pStyle w:val="176"/>
              <w:numPr>
                <w:ilvl w:val="0"/>
                <w:numId w:val="25"/>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操作弹性大，CO</w:t>
            </w:r>
            <w:r>
              <w:rPr>
                <w:rFonts w:hint="default" w:ascii="Times New Roman" w:hAnsi="Times New Roman" w:cs="Times New Roman"/>
                <w:sz w:val="21"/>
                <w:szCs w:val="21"/>
                <w:vertAlign w:val="subscript"/>
              </w:rPr>
              <w:t>2</w:t>
            </w:r>
            <w:r>
              <w:rPr>
                <w:rFonts w:hint="default" w:ascii="Times New Roman" w:hAnsi="Times New Roman" w:cs="Times New Roman"/>
                <w:sz w:val="21"/>
                <w:szCs w:val="21"/>
              </w:rPr>
              <w:t>成品质量稳定</w:t>
            </w:r>
          </w:p>
          <w:p w14:paraId="2DE4C92A">
            <w:pPr>
              <w:pStyle w:val="176"/>
              <w:numPr>
                <w:ilvl w:val="0"/>
                <w:numId w:val="25"/>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工艺简单，技术安全性较高；</w:t>
            </w:r>
          </w:p>
          <w:p w14:paraId="5FA7C72E">
            <w:pPr>
              <w:pStyle w:val="176"/>
              <w:numPr>
                <w:ilvl w:val="0"/>
                <w:numId w:val="25"/>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运行过程无溶剂挥发对环境影响小；</w:t>
            </w:r>
          </w:p>
          <w:p w14:paraId="7ECB327D">
            <w:pPr>
              <w:pStyle w:val="176"/>
              <w:ind w:firstLineChars="0"/>
              <w:jc w:val="left"/>
              <w:rPr>
                <w:rFonts w:hint="default" w:ascii="Times New Roman" w:hAnsi="Times New Roman" w:cs="Times New Roman"/>
                <w:sz w:val="21"/>
                <w:szCs w:val="21"/>
              </w:rPr>
            </w:pPr>
            <w:r>
              <w:rPr>
                <w:rFonts w:hint="default" w:ascii="Times New Roman" w:hAnsi="Times New Roman" w:cs="Times New Roman"/>
                <w:sz w:val="21"/>
                <w:szCs w:val="21"/>
              </w:rPr>
              <w:t>无设备腐蚀问题。</w:t>
            </w:r>
          </w:p>
        </w:tc>
        <w:tc>
          <w:tcPr>
            <w:tcW w:w="1776" w:type="pct"/>
            <w:noWrap w:val="0"/>
            <w:vAlign w:val="center"/>
          </w:tcPr>
          <w:p w14:paraId="44922211">
            <w:pPr>
              <w:pStyle w:val="254"/>
              <w:numPr>
                <w:ilvl w:val="0"/>
                <w:numId w:val="26"/>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预处理工艺复杂；</w:t>
            </w:r>
          </w:p>
          <w:p w14:paraId="70B03005">
            <w:pPr>
              <w:pStyle w:val="254"/>
              <w:numPr>
                <w:ilvl w:val="0"/>
                <w:numId w:val="26"/>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产品纯度低，回收率低；</w:t>
            </w:r>
          </w:p>
          <w:p w14:paraId="36A1E8BF">
            <w:pPr>
              <w:pStyle w:val="254"/>
              <w:numPr>
                <w:ilvl w:val="0"/>
                <w:numId w:val="26"/>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在我国多处于中试阶段；</w:t>
            </w:r>
          </w:p>
          <w:p w14:paraId="619C6029">
            <w:pPr>
              <w:pStyle w:val="254"/>
              <w:ind w:firstLine="0" w:firstLineChars="0"/>
              <w:jc w:val="left"/>
              <w:rPr>
                <w:rFonts w:hint="default" w:ascii="Times New Roman" w:hAnsi="Times New Roman" w:cs="Times New Roman"/>
                <w:sz w:val="21"/>
                <w:szCs w:val="21"/>
              </w:rPr>
            </w:pPr>
            <w:r>
              <w:rPr>
                <w:rFonts w:hint="default" w:ascii="Times New Roman" w:hAnsi="Times New Roman" w:cs="Times New Roman"/>
                <w:sz w:val="21"/>
                <w:szCs w:val="21"/>
              </w:rPr>
              <w:t>单位捕集CO</w:t>
            </w:r>
            <w:r>
              <w:rPr>
                <w:rFonts w:hint="default" w:ascii="Times New Roman" w:hAnsi="Times New Roman" w:cs="Times New Roman"/>
                <w:sz w:val="21"/>
                <w:szCs w:val="21"/>
                <w:vertAlign w:val="subscript"/>
              </w:rPr>
              <w:t>2</w:t>
            </w:r>
            <w:r>
              <w:rPr>
                <w:rFonts w:hint="default" w:ascii="Times New Roman" w:hAnsi="Times New Roman" w:cs="Times New Roman"/>
                <w:sz w:val="21"/>
                <w:szCs w:val="21"/>
              </w:rPr>
              <w:t xml:space="preserve"> 设备投资较高。</w:t>
            </w:r>
          </w:p>
        </w:tc>
      </w:tr>
      <w:tr w14:paraId="18783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pct"/>
            <w:noWrap w:val="0"/>
            <w:vAlign w:val="center"/>
          </w:tcPr>
          <w:p w14:paraId="23D563BC">
            <w:pPr>
              <w:ind w:left="420"/>
              <w:jc w:val="left"/>
              <w:rPr>
                <w:rFonts w:hint="default" w:ascii="Times New Roman" w:hAnsi="Times New Roman" w:cs="Times New Roman"/>
                <w:sz w:val="21"/>
                <w:szCs w:val="21"/>
              </w:rPr>
            </w:pPr>
            <w:r>
              <w:rPr>
                <w:rFonts w:hint="default" w:ascii="Times New Roman" w:hAnsi="Times New Roman" w:cs="Times New Roman"/>
                <w:sz w:val="21"/>
                <w:szCs w:val="21"/>
              </w:rPr>
              <w:t>变压吸附法</w:t>
            </w:r>
          </w:p>
        </w:tc>
        <w:tc>
          <w:tcPr>
            <w:tcW w:w="2245" w:type="pct"/>
            <w:noWrap w:val="0"/>
            <w:vAlign w:val="center"/>
          </w:tcPr>
          <w:p w14:paraId="225C7348">
            <w:pPr>
              <w:pStyle w:val="176"/>
              <w:ind w:firstLine="0" w:firstLineChars="0"/>
              <w:jc w:val="left"/>
              <w:rPr>
                <w:rFonts w:hint="default" w:ascii="Times New Roman" w:hAnsi="Times New Roman" w:cs="Times New Roman"/>
                <w:sz w:val="21"/>
                <w:szCs w:val="21"/>
              </w:rPr>
            </w:pPr>
            <w:r>
              <w:rPr>
                <w:rFonts w:hint="default" w:ascii="Times New Roman" w:hAnsi="Times New Roman" w:cs="Times New Roman"/>
                <w:sz w:val="21"/>
                <w:szCs w:val="21"/>
              </w:rPr>
              <w:t>（1）安全性高：变压吸附法整体上是一个较安全的捕集方法，因为它在常温常压下进行，避免了高温高压等危险环境；</w:t>
            </w:r>
          </w:p>
          <w:p w14:paraId="2509A396">
            <w:pPr>
              <w:pStyle w:val="176"/>
              <w:ind w:firstLine="0" w:firstLineChars="0"/>
              <w:jc w:val="left"/>
              <w:rPr>
                <w:rFonts w:hint="default" w:ascii="Times New Roman" w:hAnsi="Times New Roman" w:cs="Times New Roman"/>
                <w:sz w:val="21"/>
                <w:szCs w:val="21"/>
              </w:rPr>
            </w:pPr>
            <w:r>
              <w:rPr>
                <w:rFonts w:hint="default" w:ascii="Times New Roman" w:hAnsi="Times New Roman" w:cs="Times New Roman"/>
                <w:sz w:val="21"/>
                <w:szCs w:val="21"/>
              </w:rPr>
              <w:t>（2）提纯效果佳：该方法能有效去除气体中的二氧化碳，实现高纯度的提纯；</w:t>
            </w:r>
          </w:p>
          <w:p w14:paraId="1D3FFAE2">
            <w:pPr>
              <w:pStyle w:val="176"/>
              <w:ind w:firstLine="0" w:firstLineChars="0"/>
              <w:jc w:val="left"/>
              <w:rPr>
                <w:rFonts w:hint="default" w:ascii="Times New Roman" w:hAnsi="Times New Roman" w:cs="Times New Roman"/>
                <w:sz w:val="21"/>
                <w:szCs w:val="21"/>
              </w:rPr>
            </w:pPr>
            <w:r>
              <w:rPr>
                <w:rFonts w:hint="default" w:ascii="Times New Roman" w:hAnsi="Times New Roman" w:cs="Times New Roman"/>
                <w:sz w:val="21"/>
                <w:szCs w:val="21"/>
              </w:rPr>
              <w:t>（3）应用范围广：变压吸附法适用于多种气体捕集，不仅限于二氧化碳。</w:t>
            </w:r>
          </w:p>
        </w:tc>
        <w:tc>
          <w:tcPr>
            <w:tcW w:w="1776" w:type="pct"/>
            <w:noWrap w:val="0"/>
            <w:vAlign w:val="center"/>
          </w:tcPr>
          <w:p w14:paraId="3F3FFC22">
            <w:pPr>
              <w:pStyle w:val="254"/>
              <w:ind w:firstLine="0" w:firstLineChars="0"/>
              <w:jc w:val="left"/>
              <w:rPr>
                <w:rFonts w:hint="default" w:ascii="Times New Roman" w:hAnsi="Times New Roman" w:cs="Times New Roman"/>
                <w:sz w:val="21"/>
                <w:szCs w:val="21"/>
              </w:rPr>
            </w:pPr>
            <w:r>
              <w:rPr>
                <w:rFonts w:hint="default" w:ascii="Times New Roman" w:hAnsi="Times New Roman" w:cs="Times New Roman"/>
                <w:sz w:val="21"/>
                <w:szCs w:val="21"/>
              </w:rPr>
              <w:t>（1）设备投资成本高：变压吸附设备较为复杂，初始投资成本较高；</w:t>
            </w:r>
          </w:p>
          <w:p w14:paraId="26B5AF9E">
            <w:pPr>
              <w:pStyle w:val="254"/>
              <w:ind w:firstLine="0" w:firstLineChars="0"/>
              <w:jc w:val="left"/>
              <w:rPr>
                <w:rFonts w:hint="default" w:ascii="Times New Roman" w:hAnsi="Times New Roman" w:cs="Times New Roman"/>
                <w:sz w:val="21"/>
                <w:szCs w:val="21"/>
              </w:rPr>
            </w:pPr>
            <w:r>
              <w:rPr>
                <w:rFonts w:hint="default" w:ascii="Times New Roman" w:hAnsi="Times New Roman" w:cs="Times New Roman"/>
                <w:sz w:val="21"/>
                <w:szCs w:val="21"/>
              </w:rPr>
              <w:t>（2）操作步骤繁琐：变压吸附过程中需要经历多个操作步骤，如预吸附、吸附、解附等，操作相对繁琐；</w:t>
            </w:r>
          </w:p>
          <w:p w14:paraId="08F4514C">
            <w:pPr>
              <w:pStyle w:val="254"/>
              <w:ind w:firstLine="0" w:firstLineChars="0"/>
              <w:jc w:val="left"/>
              <w:rPr>
                <w:rFonts w:hint="default" w:ascii="Times New Roman" w:hAnsi="Times New Roman" w:cs="Times New Roman"/>
                <w:sz w:val="21"/>
                <w:szCs w:val="21"/>
              </w:rPr>
            </w:pPr>
            <w:r>
              <w:rPr>
                <w:rFonts w:hint="default" w:ascii="Times New Roman" w:hAnsi="Times New Roman" w:cs="Times New Roman"/>
                <w:sz w:val="21"/>
                <w:szCs w:val="21"/>
              </w:rPr>
              <w:t>（3）产能有限：受吸附剂量的限制，变压吸附法在达到一定的吸附容量后，需要逆过程进行再生，这可能会影响捕集的连续性。</w:t>
            </w:r>
          </w:p>
        </w:tc>
      </w:tr>
      <w:tr w14:paraId="74D75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pct"/>
            <w:noWrap w:val="0"/>
            <w:vAlign w:val="center"/>
          </w:tcPr>
          <w:p w14:paraId="06640887">
            <w:pPr>
              <w:ind w:left="420"/>
              <w:jc w:val="left"/>
              <w:rPr>
                <w:rFonts w:hint="default" w:ascii="Times New Roman" w:hAnsi="Times New Roman" w:cs="Times New Roman"/>
                <w:sz w:val="21"/>
                <w:szCs w:val="21"/>
              </w:rPr>
            </w:pPr>
            <w:r>
              <w:rPr>
                <w:rFonts w:hint="default" w:ascii="Times New Roman" w:hAnsi="Times New Roman" w:cs="Times New Roman"/>
                <w:sz w:val="21"/>
                <w:szCs w:val="21"/>
              </w:rPr>
              <w:t>膜分离法</w:t>
            </w:r>
          </w:p>
        </w:tc>
        <w:tc>
          <w:tcPr>
            <w:tcW w:w="2245" w:type="pct"/>
            <w:noWrap w:val="0"/>
            <w:vAlign w:val="center"/>
          </w:tcPr>
          <w:p w14:paraId="320A4642">
            <w:pPr>
              <w:pStyle w:val="176"/>
              <w:numPr>
                <w:ilvl w:val="0"/>
                <w:numId w:val="27"/>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可模块化设计，设备简单，占地面积小，安装维护方便，操作弹性大；</w:t>
            </w:r>
          </w:p>
          <w:p w14:paraId="047AC7F9">
            <w:pPr>
              <w:pStyle w:val="176"/>
              <w:numPr>
                <w:ilvl w:val="0"/>
                <w:numId w:val="27"/>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放大效应不明显；</w:t>
            </w:r>
          </w:p>
          <w:p w14:paraId="650CC050">
            <w:pPr>
              <w:pStyle w:val="176"/>
              <w:numPr>
                <w:ilvl w:val="0"/>
                <w:numId w:val="27"/>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不涉及化学过程，环境友好；</w:t>
            </w:r>
          </w:p>
          <w:p w14:paraId="28F76436">
            <w:pPr>
              <w:pStyle w:val="176"/>
              <w:ind w:firstLineChars="0"/>
              <w:jc w:val="left"/>
              <w:rPr>
                <w:rFonts w:hint="default" w:ascii="Times New Roman" w:hAnsi="Times New Roman" w:cs="Times New Roman"/>
                <w:sz w:val="21"/>
                <w:szCs w:val="21"/>
              </w:rPr>
            </w:pPr>
            <w:r>
              <w:rPr>
                <w:rFonts w:hint="default" w:ascii="Times New Roman" w:hAnsi="Times New Roman" w:cs="Times New Roman"/>
                <w:sz w:val="21"/>
                <w:szCs w:val="21"/>
              </w:rPr>
              <w:t>自动化控制程度高，过程安全可靠。</w:t>
            </w:r>
          </w:p>
        </w:tc>
        <w:tc>
          <w:tcPr>
            <w:tcW w:w="1776" w:type="pct"/>
            <w:noWrap w:val="0"/>
            <w:vAlign w:val="center"/>
          </w:tcPr>
          <w:p w14:paraId="7FC0945B">
            <w:pPr>
              <w:pStyle w:val="176"/>
              <w:numPr>
                <w:ilvl w:val="0"/>
                <w:numId w:val="28"/>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捕集效率低；</w:t>
            </w:r>
          </w:p>
          <w:p w14:paraId="7E139DE3">
            <w:pPr>
              <w:pStyle w:val="176"/>
              <w:numPr>
                <w:ilvl w:val="0"/>
                <w:numId w:val="28"/>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大多数膜组件怕水，怕高温；易堵塞,易被污染,寿命短；</w:t>
            </w:r>
          </w:p>
          <w:p w14:paraId="4A3EB317">
            <w:pPr>
              <w:pStyle w:val="176"/>
              <w:numPr>
                <w:ilvl w:val="0"/>
                <w:numId w:val="28"/>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国内制膜工艺及管件部件精度不够；</w:t>
            </w:r>
          </w:p>
          <w:p w14:paraId="7AAAC8A2">
            <w:pPr>
              <w:pStyle w:val="176"/>
              <w:ind w:left="920" w:firstLine="0" w:firstLineChars="0"/>
              <w:jc w:val="left"/>
              <w:rPr>
                <w:rFonts w:hint="default" w:ascii="Times New Roman" w:hAnsi="Times New Roman" w:cs="Times New Roman"/>
                <w:sz w:val="21"/>
                <w:szCs w:val="21"/>
              </w:rPr>
            </w:pPr>
            <w:r>
              <w:rPr>
                <w:rFonts w:hint="default" w:ascii="Times New Roman" w:hAnsi="Times New Roman" w:cs="Times New Roman"/>
                <w:sz w:val="21"/>
                <w:szCs w:val="21"/>
              </w:rPr>
              <w:t>需要增压耗电，成本较高；小规模示范阶段。</w:t>
            </w:r>
          </w:p>
        </w:tc>
      </w:tr>
      <w:tr w14:paraId="4054E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pct"/>
            <w:noWrap w:val="0"/>
            <w:vAlign w:val="center"/>
          </w:tcPr>
          <w:p w14:paraId="0F5965F8">
            <w:pPr>
              <w:ind w:left="420"/>
              <w:jc w:val="left"/>
              <w:rPr>
                <w:rFonts w:hint="default" w:ascii="Times New Roman" w:hAnsi="Times New Roman" w:cs="Times New Roman"/>
                <w:sz w:val="21"/>
                <w:szCs w:val="21"/>
              </w:rPr>
            </w:pPr>
            <w:r>
              <w:rPr>
                <w:rFonts w:hint="default" w:ascii="Times New Roman" w:hAnsi="Times New Roman" w:cs="Times New Roman"/>
                <w:sz w:val="21"/>
                <w:szCs w:val="21"/>
              </w:rPr>
              <w:t>低温精馏法</w:t>
            </w:r>
          </w:p>
        </w:tc>
        <w:tc>
          <w:tcPr>
            <w:tcW w:w="2245" w:type="pct"/>
            <w:noWrap w:val="0"/>
            <w:vAlign w:val="center"/>
          </w:tcPr>
          <w:p w14:paraId="12796F8A">
            <w:pPr>
              <w:pStyle w:val="176"/>
              <w:numPr>
                <w:ilvl w:val="0"/>
                <w:numId w:val="29"/>
              </w:numPr>
              <w:ind w:firstLineChars="0"/>
              <w:jc w:val="left"/>
              <w:rPr>
                <w:rFonts w:hint="default" w:ascii="Times New Roman" w:hAnsi="Times New Roman" w:cs="Times New Roman"/>
                <w:sz w:val="21"/>
                <w:szCs w:val="21"/>
              </w:rPr>
            </w:pPr>
            <w:r>
              <w:rPr>
                <w:rFonts w:hint="default" w:ascii="Times New Roman" w:hAnsi="Times New Roman" w:cs="Times New Roman"/>
                <w:sz w:val="21"/>
                <w:szCs w:val="21"/>
              </w:rPr>
              <w:t>适合高浓度二氧化碳场景；</w:t>
            </w:r>
          </w:p>
          <w:p w14:paraId="6539A1A0">
            <w:pPr>
              <w:pStyle w:val="176"/>
              <w:numPr>
                <w:ilvl w:val="0"/>
                <w:numId w:val="29"/>
              </w:numPr>
              <w:ind w:firstLineChars="0"/>
              <w:jc w:val="left"/>
              <w:rPr>
                <w:rFonts w:hint="default" w:ascii="Times New Roman" w:hAnsi="Times New Roman" w:cs="Times New Roman"/>
                <w:sz w:val="21"/>
                <w:szCs w:val="21"/>
              </w:rPr>
            </w:pPr>
            <w:r>
              <w:rPr>
                <w:rFonts w:hint="default" w:ascii="Times New Roman" w:hAnsi="Times New Roman" w:cs="Times New Roman"/>
                <w:sz w:val="21"/>
                <w:szCs w:val="21"/>
              </w:rPr>
              <w:t>回收率在85-90%之间；</w:t>
            </w:r>
          </w:p>
          <w:p w14:paraId="5DBB6511">
            <w:pPr>
              <w:pStyle w:val="176"/>
              <w:numPr>
                <w:ilvl w:val="0"/>
                <w:numId w:val="29"/>
              </w:numPr>
              <w:ind w:firstLineChars="0"/>
              <w:jc w:val="left"/>
              <w:rPr>
                <w:rFonts w:hint="default" w:ascii="Times New Roman" w:hAnsi="Times New Roman" w:cs="Times New Roman"/>
                <w:sz w:val="21"/>
                <w:szCs w:val="21"/>
              </w:rPr>
            </w:pPr>
            <w:r>
              <w:rPr>
                <w:rFonts w:hint="default" w:ascii="Times New Roman" w:hAnsi="Times New Roman" w:cs="Times New Roman"/>
                <w:sz w:val="21"/>
                <w:szCs w:val="21"/>
              </w:rPr>
              <w:t>生产的液态二氧化碳浓度高并且稳定，可以达到食品级标准；</w:t>
            </w:r>
          </w:p>
          <w:p w14:paraId="374F1B36">
            <w:pPr>
              <w:pStyle w:val="176"/>
              <w:numPr>
                <w:ilvl w:val="0"/>
                <w:numId w:val="27"/>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结合了低温和精馏的优点</w:t>
            </w:r>
            <w:r>
              <w:rPr>
                <w:rFonts w:hint="default" w:ascii="Times New Roman" w:hAnsi="Times New Roman" w:cs="Times New Roman"/>
                <w:sz w:val="21"/>
                <w:szCs w:val="21"/>
                <w:lang w:eastAsia="zh-CN"/>
              </w:rPr>
              <w:t>。</w:t>
            </w:r>
          </w:p>
        </w:tc>
        <w:tc>
          <w:tcPr>
            <w:tcW w:w="1776" w:type="pct"/>
            <w:noWrap w:val="0"/>
            <w:vAlign w:val="center"/>
          </w:tcPr>
          <w:p w14:paraId="5788EA14">
            <w:pPr>
              <w:pStyle w:val="176"/>
              <w:numPr>
                <w:ilvl w:val="0"/>
                <w:numId w:val="30"/>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只适合于高浓度进气；</w:t>
            </w:r>
          </w:p>
          <w:p w14:paraId="0F668175">
            <w:pPr>
              <w:pStyle w:val="176"/>
              <w:numPr>
                <w:ilvl w:val="0"/>
                <w:numId w:val="30"/>
              </w:numPr>
              <w:ind w:left="420" w:firstLineChars="0"/>
              <w:jc w:val="left"/>
              <w:rPr>
                <w:rFonts w:hint="default" w:ascii="Times New Roman" w:hAnsi="Times New Roman" w:cs="Times New Roman"/>
                <w:sz w:val="21"/>
                <w:szCs w:val="21"/>
              </w:rPr>
            </w:pPr>
            <w:r>
              <w:rPr>
                <w:rFonts w:hint="default" w:ascii="Times New Roman" w:hAnsi="Times New Roman" w:cs="Times New Roman"/>
                <w:sz w:val="21"/>
                <w:szCs w:val="21"/>
              </w:rPr>
              <w:t>如果气源二氧化碳浓度为20-50%，能耗及成本昂贵。</w:t>
            </w:r>
          </w:p>
        </w:tc>
      </w:tr>
    </w:tbl>
    <w:p w14:paraId="1C566C47">
      <w:pPr>
        <w:ind w:left="420" w:firstLine="420"/>
        <w:rPr>
          <w:rFonts w:ascii="宋体" w:hAnsi="宋体"/>
        </w:rPr>
      </w:pPr>
      <w:r>
        <w:rPr>
          <w:rFonts w:hint="eastAsia" w:ascii="宋体" w:hAnsi="宋体"/>
        </w:rPr>
        <w:t xml:space="preserve">                                                                </w:t>
      </w:r>
    </w:p>
    <w:p w14:paraId="73FC5F6B">
      <w:pPr>
        <w:keepNext/>
        <w:keepLines/>
        <w:spacing w:before="120" w:after="120"/>
        <w:outlineLvl w:val="0"/>
        <w:rPr>
          <w:rFonts w:hint="eastAsia"/>
          <w:b/>
          <w:bCs/>
          <w:kern w:val="44"/>
          <w:szCs w:val="44"/>
        </w:rPr>
      </w:pPr>
      <w:r>
        <w:rPr>
          <w:rFonts w:hint="eastAsia"/>
          <w:b/>
          <w:bCs/>
          <w:kern w:val="44"/>
          <w:szCs w:val="44"/>
        </w:rPr>
        <w:t>5 炼油行业碳捕集技术评价指标</w:t>
      </w:r>
    </w:p>
    <w:p w14:paraId="7789602D">
      <w:pPr>
        <w:widowControl/>
        <w:autoSpaceDE w:val="0"/>
        <w:autoSpaceDN w:val="0"/>
        <w:spacing w:line="360" w:lineRule="exact"/>
        <w:ind w:firstLine="420" w:firstLineChars="200"/>
        <w:rPr>
          <w:color w:val="000000"/>
          <w:kern w:val="0"/>
          <w:szCs w:val="22"/>
        </w:rPr>
      </w:pPr>
      <w:r>
        <w:rPr>
          <w:color w:val="000000"/>
          <w:kern w:val="0"/>
          <w:szCs w:val="22"/>
        </w:rPr>
        <w:t>本文件给出了燃料型炼油企业、传统炼化一体化企业和新型炼化一体化企业的单位原（料）油化学吸收法捕集二氧化碳的技术指标，包括</w:t>
      </w:r>
      <w:r>
        <w:rPr>
          <w:rFonts w:hint="eastAsia"/>
          <w:kern w:val="0"/>
          <w:szCs w:val="20"/>
        </w:rPr>
        <w:t>CO</w:t>
      </w:r>
      <w:r>
        <w:rPr>
          <w:rFonts w:hint="eastAsia"/>
          <w:kern w:val="0"/>
          <w:szCs w:val="20"/>
          <w:vertAlign w:val="subscript"/>
        </w:rPr>
        <w:t>2</w:t>
      </w:r>
      <w:r>
        <w:rPr>
          <w:color w:val="000000"/>
          <w:kern w:val="0"/>
          <w:szCs w:val="22"/>
        </w:rPr>
        <w:t>捕集率、</w:t>
      </w:r>
      <w:r>
        <w:rPr>
          <w:rFonts w:hint="eastAsia"/>
          <w:kern w:val="0"/>
          <w:szCs w:val="20"/>
        </w:rPr>
        <w:t>CO</w:t>
      </w:r>
      <w:r>
        <w:rPr>
          <w:rFonts w:hint="eastAsia"/>
          <w:kern w:val="0"/>
          <w:szCs w:val="20"/>
          <w:vertAlign w:val="subscript"/>
        </w:rPr>
        <w:t>2</w:t>
      </w:r>
      <w:r>
        <w:rPr>
          <w:color w:val="000000"/>
          <w:kern w:val="0"/>
          <w:szCs w:val="22"/>
        </w:rPr>
        <w:t>产品纯度和再生能耗。每个技术指标分为三级，其中1级指标为鼓励性指标。</w:t>
      </w:r>
    </w:p>
    <w:p w14:paraId="6C3B9F86">
      <w:pPr>
        <w:widowControl/>
        <w:autoSpaceDE w:val="0"/>
        <w:autoSpaceDN w:val="0"/>
        <w:spacing w:line="360" w:lineRule="exact"/>
        <w:ind w:firstLine="420" w:firstLineChars="200"/>
        <w:rPr>
          <w:color w:val="000000"/>
          <w:kern w:val="0"/>
          <w:szCs w:val="22"/>
        </w:rPr>
      </w:pPr>
      <w:r>
        <w:rPr>
          <w:color w:val="000000"/>
          <w:kern w:val="0"/>
          <w:szCs w:val="22"/>
        </w:rPr>
        <w:t>1级指标为领先水平；</w:t>
      </w:r>
    </w:p>
    <w:p w14:paraId="4663B737">
      <w:pPr>
        <w:widowControl/>
        <w:autoSpaceDE w:val="0"/>
        <w:autoSpaceDN w:val="0"/>
        <w:spacing w:line="360" w:lineRule="exact"/>
        <w:ind w:firstLine="420" w:firstLineChars="200"/>
        <w:rPr>
          <w:color w:val="000000"/>
          <w:kern w:val="0"/>
          <w:szCs w:val="22"/>
        </w:rPr>
      </w:pPr>
      <w:r>
        <w:rPr>
          <w:color w:val="000000"/>
          <w:kern w:val="0"/>
          <w:szCs w:val="22"/>
        </w:rPr>
        <w:t>2级指标为先进水平；</w:t>
      </w:r>
    </w:p>
    <w:p w14:paraId="7A78833B">
      <w:pPr>
        <w:widowControl/>
        <w:autoSpaceDE w:val="0"/>
        <w:autoSpaceDN w:val="0"/>
        <w:spacing w:line="360" w:lineRule="exact"/>
        <w:ind w:firstLine="420" w:firstLineChars="200"/>
        <w:rPr>
          <w:color w:val="000000"/>
          <w:kern w:val="0"/>
          <w:szCs w:val="22"/>
        </w:rPr>
      </w:pPr>
      <w:r>
        <w:rPr>
          <w:color w:val="000000"/>
          <w:kern w:val="0"/>
          <w:szCs w:val="22"/>
        </w:rPr>
        <w:t>3级指标为基本水平。</w:t>
      </w:r>
    </w:p>
    <w:p w14:paraId="2632FFC3">
      <w:pPr>
        <w:pStyle w:val="37"/>
        <w:spacing w:line="360" w:lineRule="exact"/>
        <w:rPr>
          <w:rFonts w:hint="eastAsia" w:ascii="Times New Roman"/>
          <w:color w:val="000000"/>
          <w:szCs w:val="22"/>
        </w:rPr>
      </w:pPr>
      <w:r>
        <w:rPr>
          <w:rFonts w:hint="eastAsia" w:ascii="Times New Roman"/>
          <w:color w:val="000000"/>
          <w:szCs w:val="22"/>
        </w:rPr>
        <w:t>中浓度</w:t>
      </w:r>
      <w:r>
        <w:rPr>
          <w:rFonts w:ascii="Times New Roman"/>
          <w:color w:val="000000"/>
          <w:szCs w:val="22"/>
        </w:rPr>
        <w:t>碳捕集技术评价指标见表2。</w:t>
      </w:r>
    </w:p>
    <w:p w14:paraId="0D8A959D">
      <w:pPr>
        <w:pStyle w:val="37"/>
        <w:spacing w:line="360" w:lineRule="exact"/>
        <w:ind w:firstLine="0" w:firstLineChars="0"/>
        <w:jc w:val="center"/>
        <w:rPr>
          <w:rFonts w:hint="eastAsia" w:ascii="Times New Roman"/>
          <w:color w:val="000000"/>
          <w:szCs w:val="22"/>
        </w:rPr>
      </w:pPr>
      <w:r>
        <w:rPr>
          <w:rFonts w:hint="eastAsia" w:ascii="Times New Roman"/>
          <w:color w:val="000000"/>
          <w:szCs w:val="22"/>
        </w:rPr>
        <w:t>表</w:t>
      </w:r>
      <w:r>
        <w:rPr>
          <w:rFonts w:ascii="Times New Roman"/>
          <w:color w:val="000000"/>
          <w:szCs w:val="22"/>
        </w:rPr>
        <w:t>2</w:t>
      </w:r>
      <w:r>
        <w:rPr>
          <w:rFonts w:hint="eastAsia" w:ascii="Times New Roman"/>
          <w:color w:val="000000"/>
          <w:szCs w:val="22"/>
        </w:rPr>
        <w:t>.</w:t>
      </w:r>
      <w:r>
        <w:rPr>
          <w:color w:val="000000"/>
          <w:szCs w:val="22"/>
        </w:rPr>
        <w:t xml:space="preserve"> 炼油行业</w:t>
      </w:r>
      <w:r>
        <w:rPr>
          <w:rFonts w:hint="eastAsia" w:ascii="Times New Roman"/>
          <w:color w:val="000000"/>
          <w:szCs w:val="22"/>
        </w:rPr>
        <w:t>中浓度（CO</w:t>
      </w:r>
      <w:r>
        <w:rPr>
          <w:rFonts w:hint="eastAsia" w:ascii="Times New Roman"/>
          <w:color w:val="000000"/>
          <w:szCs w:val="22"/>
          <w:vertAlign w:val="subscript"/>
        </w:rPr>
        <w:t>2</w:t>
      </w:r>
      <w:r>
        <w:rPr>
          <w:rFonts w:hint="eastAsia" w:ascii="Times New Roman"/>
          <w:color w:val="000000"/>
          <w:szCs w:val="22"/>
        </w:rPr>
        <w:t>浓度</w:t>
      </w:r>
      <w:r>
        <w:rPr>
          <w:rFonts w:hint="eastAsia" w:ascii="Times New Roman"/>
          <w:color w:val="000000"/>
          <w:szCs w:val="22"/>
          <w:lang w:val="en-US" w:eastAsia="zh-CN"/>
        </w:rPr>
        <w:t>≥4</w:t>
      </w:r>
      <w:r>
        <w:rPr>
          <w:rFonts w:hint="eastAsia" w:ascii="Times New Roman"/>
          <w:color w:val="000000"/>
          <w:szCs w:val="22"/>
        </w:rPr>
        <w:t>0%）碳捕集技术水平分级</w:t>
      </w:r>
    </w:p>
    <w:tbl>
      <w:tblPr>
        <w:tblStyle w:val="5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2"/>
        <w:gridCol w:w="1878"/>
        <w:gridCol w:w="1700"/>
        <w:gridCol w:w="1417"/>
        <w:gridCol w:w="1384"/>
      </w:tblGrid>
      <w:tr w14:paraId="4583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68" w:type="pct"/>
            <w:vMerge w:val="restart"/>
            <w:vAlign w:val="center"/>
          </w:tcPr>
          <w:p w14:paraId="189A5D3D">
            <w:pPr>
              <w:pStyle w:val="37"/>
              <w:widowControl w:val="0"/>
              <w:spacing w:line="360" w:lineRule="exact"/>
              <w:ind w:firstLine="0" w:firstLineChars="0"/>
              <w:jc w:val="center"/>
              <w:rPr>
                <w:rFonts w:ascii="Times New Roman"/>
                <w:color w:val="000000"/>
                <w:szCs w:val="22"/>
              </w:rPr>
            </w:pPr>
            <w:r>
              <w:rPr>
                <w:rFonts w:ascii="Times New Roman"/>
                <w:color w:val="000000"/>
                <w:szCs w:val="22"/>
              </w:rPr>
              <w:t>技术指标</w:t>
            </w:r>
          </w:p>
        </w:tc>
        <w:tc>
          <w:tcPr>
            <w:tcW w:w="981" w:type="pct"/>
            <w:vMerge w:val="restart"/>
            <w:vAlign w:val="center"/>
          </w:tcPr>
          <w:p w14:paraId="74F79F49">
            <w:pPr>
              <w:pStyle w:val="37"/>
              <w:widowControl w:val="0"/>
              <w:spacing w:line="360" w:lineRule="exact"/>
              <w:ind w:firstLine="0" w:firstLineChars="0"/>
              <w:jc w:val="center"/>
              <w:rPr>
                <w:rFonts w:ascii="Times New Roman"/>
                <w:color w:val="000000"/>
                <w:szCs w:val="22"/>
              </w:rPr>
            </w:pPr>
            <w:r>
              <w:rPr>
                <w:rFonts w:ascii="Times New Roman"/>
                <w:color w:val="000000"/>
                <w:szCs w:val="22"/>
              </w:rPr>
              <w:t>单位</w:t>
            </w:r>
          </w:p>
        </w:tc>
        <w:tc>
          <w:tcPr>
            <w:tcW w:w="2351" w:type="pct"/>
            <w:gridSpan w:val="3"/>
            <w:vAlign w:val="center"/>
          </w:tcPr>
          <w:p w14:paraId="5AA6A137">
            <w:pPr>
              <w:pStyle w:val="37"/>
              <w:widowControl w:val="0"/>
              <w:spacing w:line="360" w:lineRule="exact"/>
              <w:ind w:firstLine="0" w:firstLineChars="0"/>
              <w:jc w:val="center"/>
              <w:rPr>
                <w:rFonts w:ascii="Times New Roman"/>
                <w:color w:val="000000"/>
                <w:szCs w:val="22"/>
              </w:rPr>
            </w:pPr>
            <w:r>
              <w:rPr>
                <w:rFonts w:ascii="Times New Roman"/>
                <w:color w:val="000000"/>
                <w:szCs w:val="22"/>
              </w:rPr>
              <w:t>指标</w:t>
            </w:r>
          </w:p>
        </w:tc>
      </w:tr>
      <w:tr w14:paraId="4C760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68" w:type="pct"/>
            <w:vMerge w:val="continue"/>
            <w:vAlign w:val="center"/>
          </w:tcPr>
          <w:p w14:paraId="637E1322">
            <w:pPr>
              <w:pStyle w:val="37"/>
              <w:widowControl w:val="0"/>
              <w:spacing w:line="360" w:lineRule="exact"/>
              <w:ind w:firstLine="0" w:firstLineChars="0"/>
              <w:jc w:val="center"/>
              <w:rPr>
                <w:rFonts w:ascii="Times New Roman"/>
                <w:color w:val="000000"/>
                <w:szCs w:val="22"/>
              </w:rPr>
            </w:pPr>
          </w:p>
        </w:tc>
        <w:tc>
          <w:tcPr>
            <w:tcW w:w="981" w:type="pct"/>
            <w:vMerge w:val="continue"/>
            <w:vAlign w:val="center"/>
          </w:tcPr>
          <w:p w14:paraId="76B0E421">
            <w:pPr>
              <w:pStyle w:val="37"/>
              <w:widowControl w:val="0"/>
              <w:spacing w:line="360" w:lineRule="exact"/>
              <w:ind w:firstLine="0" w:firstLineChars="0"/>
              <w:jc w:val="center"/>
              <w:rPr>
                <w:rFonts w:ascii="Times New Roman"/>
                <w:color w:val="000000"/>
                <w:szCs w:val="22"/>
              </w:rPr>
            </w:pPr>
          </w:p>
        </w:tc>
        <w:tc>
          <w:tcPr>
            <w:tcW w:w="888" w:type="pct"/>
            <w:vAlign w:val="center"/>
          </w:tcPr>
          <w:p w14:paraId="7B2CAB96">
            <w:pPr>
              <w:pStyle w:val="37"/>
              <w:widowControl w:val="0"/>
              <w:spacing w:line="360" w:lineRule="exact"/>
              <w:ind w:firstLine="0" w:firstLineChars="0"/>
              <w:jc w:val="center"/>
              <w:rPr>
                <w:rFonts w:ascii="Times New Roman"/>
                <w:color w:val="000000"/>
                <w:szCs w:val="22"/>
              </w:rPr>
            </w:pPr>
            <w:r>
              <w:rPr>
                <w:rFonts w:ascii="Times New Roman"/>
                <w:color w:val="000000"/>
                <w:szCs w:val="22"/>
              </w:rPr>
              <w:t>1级</w:t>
            </w:r>
          </w:p>
        </w:tc>
        <w:tc>
          <w:tcPr>
            <w:tcW w:w="740" w:type="pct"/>
            <w:vAlign w:val="center"/>
          </w:tcPr>
          <w:p w14:paraId="7BBFA561">
            <w:pPr>
              <w:pStyle w:val="37"/>
              <w:widowControl w:val="0"/>
              <w:spacing w:line="360" w:lineRule="exact"/>
              <w:ind w:firstLine="0" w:firstLineChars="0"/>
              <w:jc w:val="center"/>
              <w:rPr>
                <w:rFonts w:ascii="Times New Roman"/>
                <w:color w:val="000000"/>
                <w:szCs w:val="22"/>
              </w:rPr>
            </w:pPr>
            <w:r>
              <w:rPr>
                <w:rFonts w:ascii="Times New Roman"/>
                <w:color w:val="000000"/>
                <w:szCs w:val="22"/>
              </w:rPr>
              <w:t>2级</w:t>
            </w:r>
          </w:p>
        </w:tc>
        <w:tc>
          <w:tcPr>
            <w:tcW w:w="723" w:type="pct"/>
            <w:vAlign w:val="center"/>
          </w:tcPr>
          <w:p w14:paraId="02387F3D">
            <w:pPr>
              <w:pStyle w:val="37"/>
              <w:widowControl w:val="0"/>
              <w:spacing w:line="360" w:lineRule="exact"/>
              <w:ind w:firstLine="0" w:firstLineChars="0"/>
              <w:jc w:val="center"/>
              <w:rPr>
                <w:rFonts w:ascii="Times New Roman"/>
                <w:color w:val="000000"/>
                <w:szCs w:val="22"/>
              </w:rPr>
            </w:pPr>
            <w:r>
              <w:rPr>
                <w:rFonts w:ascii="Times New Roman"/>
                <w:color w:val="000000"/>
                <w:szCs w:val="22"/>
              </w:rPr>
              <w:t>3级</w:t>
            </w:r>
          </w:p>
        </w:tc>
      </w:tr>
      <w:tr w14:paraId="6806A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pct"/>
            <w:vAlign w:val="center"/>
          </w:tcPr>
          <w:p w14:paraId="677E7578">
            <w:pPr>
              <w:pStyle w:val="37"/>
              <w:widowControl w:val="0"/>
              <w:spacing w:line="360" w:lineRule="exact"/>
              <w:ind w:firstLine="0" w:firstLineChars="0"/>
              <w:jc w:val="center"/>
              <w:rPr>
                <w:rFonts w:ascii="Times New Roman"/>
                <w:color w:val="000000"/>
                <w:szCs w:val="22"/>
              </w:rPr>
            </w:pPr>
            <w:r>
              <w:rPr>
                <w:rFonts w:ascii="Times New Roman"/>
                <w:color w:val="000000"/>
                <w:szCs w:val="22"/>
              </w:rPr>
              <w:t>CO</w:t>
            </w:r>
            <w:r>
              <w:rPr>
                <w:rFonts w:ascii="Times New Roman"/>
                <w:color w:val="000000"/>
                <w:szCs w:val="22"/>
                <w:vertAlign w:val="subscript"/>
              </w:rPr>
              <w:t>2</w:t>
            </w:r>
            <w:r>
              <w:rPr>
                <w:rFonts w:ascii="Times New Roman"/>
                <w:color w:val="000000"/>
                <w:szCs w:val="22"/>
              </w:rPr>
              <w:t>捕集率</w:t>
            </w:r>
          </w:p>
        </w:tc>
        <w:tc>
          <w:tcPr>
            <w:tcW w:w="981" w:type="pct"/>
            <w:vAlign w:val="center"/>
          </w:tcPr>
          <w:p w14:paraId="796D75AD">
            <w:pPr>
              <w:pStyle w:val="37"/>
              <w:widowControl w:val="0"/>
              <w:spacing w:line="360" w:lineRule="exact"/>
              <w:ind w:firstLine="0" w:firstLineChars="0"/>
              <w:jc w:val="center"/>
              <w:rPr>
                <w:rFonts w:ascii="Times New Roman"/>
                <w:color w:val="000000"/>
                <w:szCs w:val="22"/>
              </w:rPr>
            </w:pPr>
            <w:r>
              <w:rPr>
                <w:rFonts w:ascii="Times New Roman"/>
                <w:color w:val="000000"/>
                <w:szCs w:val="22"/>
              </w:rPr>
              <w:t>%</w:t>
            </w:r>
          </w:p>
        </w:tc>
        <w:tc>
          <w:tcPr>
            <w:tcW w:w="888" w:type="pct"/>
            <w:vAlign w:val="center"/>
          </w:tcPr>
          <w:p w14:paraId="77485C10">
            <w:pPr>
              <w:pStyle w:val="37"/>
              <w:widowControl w:val="0"/>
              <w:spacing w:line="360" w:lineRule="exact"/>
              <w:ind w:firstLine="0" w:firstLineChars="0"/>
              <w:jc w:val="center"/>
              <w:rPr>
                <w:rFonts w:ascii="Times New Roman"/>
                <w:color w:val="000000"/>
                <w:szCs w:val="22"/>
              </w:rPr>
            </w:pPr>
            <w:r>
              <w:rPr>
                <w:rFonts w:ascii="Times New Roman"/>
                <w:color w:val="000000"/>
                <w:szCs w:val="22"/>
              </w:rPr>
              <w:t>≥9</w:t>
            </w:r>
            <w:r>
              <w:rPr>
                <w:rFonts w:hint="eastAsia" w:ascii="Times New Roman"/>
                <w:color w:val="000000"/>
                <w:szCs w:val="22"/>
              </w:rPr>
              <w:t>0</w:t>
            </w:r>
          </w:p>
        </w:tc>
        <w:tc>
          <w:tcPr>
            <w:tcW w:w="740" w:type="pct"/>
            <w:vAlign w:val="center"/>
          </w:tcPr>
          <w:p w14:paraId="2E00D982">
            <w:pPr>
              <w:pStyle w:val="37"/>
              <w:widowControl w:val="0"/>
              <w:spacing w:line="360" w:lineRule="exact"/>
              <w:ind w:firstLine="0" w:firstLineChars="0"/>
              <w:jc w:val="center"/>
              <w:rPr>
                <w:rFonts w:ascii="Times New Roman"/>
                <w:color w:val="000000"/>
                <w:szCs w:val="22"/>
              </w:rPr>
            </w:pPr>
            <w:r>
              <w:rPr>
                <w:rFonts w:ascii="Times New Roman"/>
                <w:color w:val="000000"/>
                <w:szCs w:val="22"/>
              </w:rPr>
              <w:t>≥</w:t>
            </w:r>
            <w:r>
              <w:rPr>
                <w:rFonts w:hint="eastAsia" w:ascii="Times New Roman"/>
                <w:color w:val="000000"/>
                <w:szCs w:val="22"/>
              </w:rPr>
              <w:t>8</w:t>
            </w:r>
            <w:r>
              <w:rPr>
                <w:rFonts w:ascii="Times New Roman"/>
                <w:color w:val="000000"/>
                <w:szCs w:val="22"/>
              </w:rPr>
              <w:t>5</w:t>
            </w:r>
          </w:p>
        </w:tc>
        <w:tc>
          <w:tcPr>
            <w:tcW w:w="723" w:type="pct"/>
            <w:vAlign w:val="center"/>
          </w:tcPr>
          <w:p w14:paraId="71A52844">
            <w:pPr>
              <w:pStyle w:val="37"/>
              <w:widowControl w:val="0"/>
              <w:spacing w:line="360" w:lineRule="exact"/>
              <w:ind w:firstLine="0" w:firstLineChars="0"/>
              <w:jc w:val="center"/>
              <w:rPr>
                <w:rFonts w:ascii="Times New Roman"/>
                <w:color w:val="000000"/>
                <w:szCs w:val="22"/>
              </w:rPr>
            </w:pPr>
            <w:r>
              <w:rPr>
                <w:rFonts w:ascii="Times New Roman"/>
                <w:color w:val="000000"/>
                <w:szCs w:val="22"/>
              </w:rPr>
              <w:t>≥</w:t>
            </w:r>
            <w:r>
              <w:rPr>
                <w:rFonts w:hint="eastAsia" w:ascii="Times New Roman"/>
                <w:color w:val="000000"/>
                <w:szCs w:val="22"/>
              </w:rPr>
              <w:t>80</w:t>
            </w:r>
          </w:p>
        </w:tc>
      </w:tr>
      <w:tr w14:paraId="6D4C2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pct"/>
            <w:vAlign w:val="center"/>
          </w:tcPr>
          <w:p w14:paraId="61A633FE">
            <w:pPr>
              <w:pStyle w:val="37"/>
              <w:widowControl w:val="0"/>
              <w:spacing w:line="360" w:lineRule="exact"/>
              <w:ind w:firstLine="0" w:firstLineChars="0"/>
              <w:jc w:val="center"/>
              <w:rPr>
                <w:rFonts w:ascii="Times New Roman"/>
                <w:color w:val="000000"/>
                <w:szCs w:val="22"/>
              </w:rPr>
            </w:pPr>
            <w:r>
              <w:rPr>
                <w:rFonts w:ascii="Times New Roman"/>
                <w:color w:val="000000"/>
                <w:szCs w:val="22"/>
              </w:rPr>
              <w:t>CO</w:t>
            </w:r>
            <w:r>
              <w:rPr>
                <w:rFonts w:ascii="Times New Roman"/>
                <w:color w:val="000000"/>
                <w:szCs w:val="22"/>
                <w:vertAlign w:val="subscript"/>
              </w:rPr>
              <w:t>2</w:t>
            </w:r>
            <w:r>
              <w:rPr>
                <w:rFonts w:ascii="Times New Roman"/>
                <w:color w:val="000000"/>
                <w:szCs w:val="22"/>
              </w:rPr>
              <w:t>产品纯度</w:t>
            </w:r>
          </w:p>
        </w:tc>
        <w:tc>
          <w:tcPr>
            <w:tcW w:w="981" w:type="pct"/>
            <w:vAlign w:val="center"/>
          </w:tcPr>
          <w:p w14:paraId="402590CF">
            <w:pPr>
              <w:pStyle w:val="37"/>
              <w:widowControl w:val="0"/>
              <w:spacing w:line="360" w:lineRule="exact"/>
              <w:ind w:firstLine="0" w:firstLineChars="0"/>
              <w:jc w:val="center"/>
              <w:rPr>
                <w:rFonts w:ascii="Times New Roman"/>
                <w:color w:val="000000"/>
                <w:szCs w:val="22"/>
              </w:rPr>
            </w:pPr>
            <w:r>
              <w:rPr>
                <w:rFonts w:ascii="Times New Roman"/>
                <w:color w:val="000000"/>
                <w:szCs w:val="22"/>
              </w:rPr>
              <w:t>%</w:t>
            </w:r>
          </w:p>
        </w:tc>
        <w:tc>
          <w:tcPr>
            <w:tcW w:w="888" w:type="pct"/>
            <w:vAlign w:val="center"/>
          </w:tcPr>
          <w:p w14:paraId="7C312080">
            <w:pPr>
              <w:pStyle w:val="37"/>
              <w:widowControl w:val="0"/>
              <w:spacing w:line="360" w:lineRule="exact"/>
              <w:ind w:firstLine="0" w:firstLineChars="0"/>
              <w:jc w:val="center"/>
              <w:rPr>
                <w:rFonts w:hint="eastAsia" w:ascii="Times New Roman" w:eastAsia="宋体"/>
                <w:color w:val="000000"/>
                <w:szCs w:val="22"/>
                <w:lang w:eastAsia="zh-CN"/>
              </w:rPr>
            </w:pPr>
            <w:r>
              <w:rPr>
                <w:rFonts w:ascii="Times New Roman"/>
                <w:color w:val="000000"/>
                <w:szCs w:val="22"/>
              </w:rPr>
              <w:t>≥9</w:t>
            </w:r>
            <w:r>
              <w:rPr>
                <w:rFonts w:hint="eastAsia" w:ascii="Times New Roman"/>
                <w:color w:val="000000"/>
                <w:szCs w:val="22"/>
                <w:lang w:val="en-US" w:eastAsia="zh-CN"/>
              </w:rPr>
              <w:t>5</w:t>
            </w:r>
          </w:p>
        </w:tc>
        <w:tc>
          <w:tcPr>
            <w:tcW w:w="740" w:type="pct"/>
            <w:vAlign w:val="center"/>
          </w:tcPr>
          <w:p w14:paraId="03B8BD66">
            <w:pPr>
              <w:pStyle w:val="37"/>
              <w:widowControl w:val="0"/>
              <w:spacing w:line="360" w:lineRule="exact"/>
              <w:ind w:firstLine="0" w:firstLineChars="0"/>
              <w:jc w:val="center"/>
              <w:rPr>
                <w:rFonts w:hint="eastAsia" w:ascii="Times New Roman" w:eastAsia="宋体"/>
                <w:color w:val="000000"/>
                <w:szCs w:val="22"/>
                <w:lang w:eastAsia="zh-CN"/>
              </w:rPr>
            </w:pPr>
            <w:r>
              <w:rPr>
                <w:rFonts w:ascii="Times New Roman"/>
                <w:color w:val="000000"/>
                <w:szCs w:val="22"/>
              </w:rPr>
              <w:t>≥9</w:t>
            </w:r>
            <w:r>
              <w:rPr>
                <w:rFonts w:hint="eastAsia" w:ascii="Times New Roman"/>
                <w:color w:val="000000"/>
                <w:szCs w:val="22"/>
                <w:lang w:val="en-US" w:eastAsia="zh-CN"/>
              </w:rPr>
              <w:t>5</w:t>
            </w:r>
          </w:p>
        </w:tc>
        <w:tc>
          <w:tcPr>
            <w:tcW w:w="723" w:type="pct"/>
            <w:vAlign w:val="center"/>
          </w:tcPr>
          <w:p w14:paraId="61469EEF">
            <w:pPr>
              <w:pStyle w:val="37"/>
              <w:widowControl w:val="0"/>
              <w:spacing w:line="360" w:lineRule="exact"/>
              <w:ind w:firstLine="0" w:firstLineChars="0"/>
              <w:jc w:val="center"/>
              <w:rPr>
                <w:rFonts w:ascii="Times New Roman"/>
                <w:color w:val="000000"/>
                <w:szCs w:val="22"/>
              </w:rPr>
            </w:pPr>
            <w:r>
              <w:rPr>
                <w:rFonts w:ascii="Times New Roman"/>
                <w:color w:val="000000"/>
                <w:szCs w:val="22"/>
              </w:rPr>
              <w:t>≥9</w:t>
            </w:r>
            <w:r>
              <w:rPr>
                <w:rFonts w:hint="eastAsia" w:ascii="Times New Roman"/>
                <w:color w:val="000000"/>
                <w:szCs w:val="22"/>
              </w:rPr>
              <w:t>5</w:t>
            </w:r>
          </w:p>
        </w:tc>
      </w:tr>
      <w:tr w14:paraId="670E1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pct"/>
            <w:vAlign w:val="center"/>
          </w:tcPr>
          <w:p w14:paraId="1EC58647">
            <w:pPr>
              <w:pStyle w:val="37"/>
              <w:widowControl w:val="0"/>
              <w:spacing w:line="360" w:lineRule="exact"/>
              <w:ind w:firstLine="0" w:firstLineChars="0"/>
              <w:jc w:val="center"/>
              <w:rPr>
                <w:rFonts w:ascii="Times New Roman"/>
                <w:color w:val="000000"/>
                <w:szCs w:val="22"/>
              </w:rPr>
            </w:pPr>
            <w:r>
              <w:rPr>
                <w:rFonts w:ascii="Times New Roman"/>
                <w:color w:val="000000"/>
                <w:szCs w:val="22"/>
              </w:rPr>
              <w:t>再生能耗</w:t>
            </w:r>
          </w:p>
        </w:tc>
        <w:tc>
          <w:tcPr>
            <w:tcW w:w="981" w:type="pct"/>
            <w:vAlign w:val="center"/>
          </w:tcPr>
          <w:p w14:paraId="1ABD257E">
            <w:pPr>
              <w:pStyle w:val="37"/>
              <w:widowControl w:val="0"/>
              <w:spacing w:line="360" w:lineRule="exact"/>
              <w:ind w:firstLine="0" w:firstLineChars="0"/>
              <w:jc w:val="center"/>
              <w:rPr>
                <w:rFonts w:ascii="Times New Roman"/>
                <w:color w:val="000000"/>
                <w:szCs w:val="22"/>
              </w:rPr>
            </w:pPr>
            <w:r>
              <w:rPr>
                <w:rFonts w:ascii="Times New Roman"/>
                <w:color w:val="000000"/>
                <w:szCs w:val="22"/>
              </w:rPr>
              <w:t>GJ/tCO</w:t>
            </w:r>
            <w:r>
              <w:rPr>
                <w:rFonts w:ascii="Times New Roman"/>
                <w:color w:val="000000"/>
                <w:szCs w:val="22"/>
                <w:vertAlign w:val="subscript"/>
              </w:rPr>
              <w:t>2</w:t>
            </w:r>
          </w:p>
        </w:tc>
        <w:tc>
          <w:tcPr>
            <w:tcW w:w="888" w:type="pct"/>
            <w:vAlign w:val="center"/>
          </w:tcPr>
          <w:p w14:paraId="65540220">
            <w:pPr>
              <w:pStyle w:val="37"/>
              <w:widowControl w:val="0"/>
              <w:spacing w:line="360" w:lineRule="exact"/>
              <w:ind w:firstLine="0" w:firstLineChars="0"/>
              <w:jc w:val="center"/>
              <w:rPr>
                <w:rFonts w:ascii="Times New Roman"/>
                <w:color w:val="000000"/>
                <w:szCs w:val="22"/>
              </w:rPr>
            </w:pPr>
            <w:r>
              <w:rPr>
                <w:rFonts w:ascii="Times New Roman"/>
                <w:color w:val="000000"/>
                <w:szCs w:val="22"/>
              </w:rPr>
              <w:t>≤1.6</w:t>
            </w:r>
          </w:p>
        </w:tc>
        <w:tc>
          <w:tcPr>
            <w:tcW w:w="740" w:type="pct"/>
            <w:vAlign w:val="center"/>
          </w:tcPr>
          <w:p w14:paraId="62E27E08">
            <w:pPr>
              <w:pStyle w:val="37"/>
              <w:widowControl w:val="0"/>
              <w:spacing w:line="360" w:lineRule="exact"/>
              <w:ind w:firstLine="0" w:firstLineChars="0"/>
              <w:jc w:val="center"/>
              <w:rPr>
                <w:rFonts w:ascii="Times New Roman"/>
                <w:color w:val="000000"/>
                <w:szCs w:val="22"/>
              </w:rPr>
            </w:pPr>
            <w:r>
              <w:rPr>
                <w:rFonts w:ascii="Times New Roman"/>
                <w:color w:val="000000"/>
                <w:szCs w:val="22"/>
              </w:rPr>
              <w:t>≤2.5</w:t>
            </w:r>
          </w:p>
        </w:tc>
        <w:tc>
          <w:tcPr>
            <w:tcW w:w="723" w:type="pct"/>
            <w:vAlign w:val="center"/>
          </w:tcPr>
          <w:p w14:paraId="2609F524">
            <w:pPr>
              <w:pStyle w:val="37"/>
              <w:widowControl w:val="0"/>
              <w:spacing w:line="360" w:lineRule="exact"/>
              <w:ind w:firstLine="0" w:firstLineChars="0"/>
              <w:jc w:val="center"/>
              <w:rPr>
                <w:rFonts w:ascii="Times New Roman"/>
                <w:color w:val="000000"/>
                <w:szCs w:val="22"/>
              </w:rPr>
            </w:pPr>
            <w:r>
              <w:rPr>
                <w:rFonts w:ascii="Times New Roman"/>
                <w:color w:val="000000"/>
                <w:szCs w:val="22"/>
              </w:rPr>
              <w:t>≤3.0</w:t>
            </w:r>
          </w:p>
        </w:tc>
      </w:tr>
    </w:tbl>
    <w:p w14:paraId="23E2E3A8">
      <w:pPr>
        <w:pStyle w:val="37"/>
        <w:spacing w:line="360" w:lineRule="exact"/>
        <w:rPr>
          <w:rFonts w:ascii="Times New Roman"/>
          <w:color w:val="000000"/>
          <w:szCs w:val="22"/>
        </w:rPr>
      </w:pPr>
      <w:r>
        <w:rPr>
          <w:rFonts w:hint="eastAsia" w:ascii="Times New Roman"/>
          <w:color w:val="000000"/>
          <w:szCs w:val="22"/>
        </w:rPr>
        <w:t>低浓度</w:t>
      </w:r>
      <w:r>
        <w:rPr>
          <w:rFonts w:ascii="Times New Roman"/>
          <w:color w:val="000000"/>
          <w:szCs w:val="22"/>
        </w:rPr>
        <w:t>碳捕集技术评价指标见表3。</w:t>
      </w:r>
    </w:p>
    <w:p w14:paraId="52445E66">
      <w:pPr>
        <w:pStyle w:val="37"/>
        <w:spacing w:line="360" w:lineRule="exact"/>
        <w:ind w:left="420"/>
        <w:jc w:val="center"/>
        <w:rPr>
          <w:rFonts w:ascii="Times New Roman"/>
          <w:color w:val="000000"/>
          <w:szCs w:val="22"/>
        </w:rPr>
      </w:pPr>
      <w:r>
        <w:rPr>
          <w:rFonts w:ascii="Times New Roman"/>
          <w:color w:val="000000"/>
          <w:szCs w:val="22"/>
        </w:rPr>
        <w:t xml:space="preserve">表3. </w:t>
      </w:r>
      <w:r>
        <w:rPr>
          <w:color w:val="000000"/>
          <w:szCs w:val="22"/>
        </w:rPr>
        <w:t>炼油行业</w:t>
      </w:r>
      <w:r>
        <w:rPr>
          <w:rFonts w:hint="eastAsia" w:ascii="Times New Roman"/>
          <w:color w:val="000000"/>
          <w:szCs w:val="22"/>
        </w:rPr>
        <w:t>低浓度（CO</w:t>
      </w:r>
      <w:r>
        <w:rPr>
          <w:rFonts w:hint="eastAsia" w:ascii="Times New Roman"/>
          <w:color w:val="000000"/>
          <w:szCs w:val="22"/>
          <w:vertAlign w:val="subscript"/>
        </w:rPr>
        <w:t>2</w:t>
      </w:r>
      <w:r>
        <w:rPr>
          <w:rFonts w:hint="eastAsia" w:ascii="Times New Roman"/>
          <w:color w:val="000000"/>
          <w:szCs w:val="22"/>
        </w:rPr>
        <w:t>浓度＜40%）</w:t>
      </w:r>
      <w:r>
        <w:rPr>
          <w:rFonts w:ascii="Times New Roman"/>
          <w:color w:val="000000"/>
          <w:szCs w:val="22"/>
        </w:rPr>
        <w:t>碳捕集技术水平分级</w:t>
      </w:r>
    </w:p>
    <w:tbl>
      <w:tblPr>
        <w:tblStyle w:val="5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2"/>
        <w:gridCol w:w="1878"/>
        <w:gridCol w:w="1700"/>
        <w:gridCol w:w="1417"/>
        <w:gridCol w:w="1384"/>
      </w:tblGrid>
      <w:tr w14:paraId="0C627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68" w:type="pct"/>
            <w:vMerge w:val="restart"/>
            <w:vAlign w:val="center"/>
          </w:tcPr>
          <w:p w14:paraId="23E65C01">
            <w:pPr>
              <w:pStyle w:val="37"/>
              <w:widowControl w:val="0"/>
              <w:spacing w:line="360" w:lineRule="exact"/>
              <w:ind w:firstLine="0" w:firstLineChars="0"/>
              <w:jc w:val="center"/>
              <w:rPr>
                <w:rFonts w:ascii="Times New Roman"/>
                <w:color w:val="000000"/>
                <w:szCs w:val="22"/>
              </w:rPr>
            </w:pPr>
            <w:r>
              <w:rPr>
                <w:rFonts w:ascii="Times New Roman"/>
                <w:color w:val="000000"/>
                <w:szCs w:val="22"/>
              </w:rPr>
              <w:t>技术指标</w:t>
            </w:r>
          </w:p>
        </w:tc>
        <w:tc>
          <w:tcPr>
            <w:tcW w:w="981" w:type="pct"/>
            <w:vMerge w:val="restart"/>
            <w:vAlign w:val="center"/>
          </w:tcPr>
          <w:p w14:paraId="576449E2">
            <w:pPr>
              <w:pStyle w:val="37"/>
              <w:widowControl w:val="0"/>
              <w:spacing w:line="360" w:lineRule="exact"/>
              <w:ind w:firstLine="0" w:firstLineChars="0"/>
              <w:jc w:val="center"/>
              <w:rPr>
                <w:rFonts w:ascii="Times New Roman"/>
                <w:color w:val="000000"/>
                <w:szCs w:val="22"/>
              </w:rPr>
            </w:pPr>
            <w:r>
              <w:rPr>
                <w:rFonts w:ascii="Times New Roman"/>
                <w:color w:val="000000"/>
                <w:szCs w:val="22"/>
              </w:rPr>
              <w:t>单位</w:t>
            </w:r>
          </w:p>
        </w:tc>
        <w:tc>
          <w:tcPr>
            <w:tcW w:w="2351" w:type="pct"/>
            <w:gridSpan w:val="3"/>
            <w:vAlign w:val="center"/>
          </w:tcPr>
          <w:p w14:paraId="3D7353CB">
            <w:pPr>
              <w:pStyle w:val="37"/>
              <w:widowControl w:val="0"/>
              <w:spacing w:line="360" w:lineRule="exact"/>
              <w:ind w:firstLine="0" w:firstLineChars="0"/>
              <w:jc w:val="center"/>
              <w:rPr>
                <w:rFonts w:ascii="Times New Roman"/>
                <w:color w:val="000000"/>
                <w:szCs w:val="22"/>
              </w:rPr>
            </w:pPr>
            <w:r>
              <w:rPr>
                <w:rFonts w:ascii="Times New Roman"/>
                <w:color w:val="000000"/>
                <w:szCs w:val="22"/>
              </w:rPr>
              <w:t>指标</w:t>
            </w:r>
          </w:p>
        </w:tc>
      </w:tr>
      <w:tr w14:paraId="735F9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668" w:type="pct"/>
            <w:vMerge w:val="continue"/>
            <w:vAlign w:val="center"/>
          </w:tcPr>
          <w:p w14:paraId="38007BC0">
            <w:pPr>
              <w:pStyle w:val="37"/>
              <w:widowControl w:val="0"/>
              <w:spacing w:line="360" w:lineRule="exact"/>
              <w:ind w:firstLine="0" w:firstLineChars="0"/>
              <w:jc w:val="center"/>
              <w:rPr>
                <w:rFonts w:ascii="Times New Roman"/>
                <w:color w:val="000000"/>
                <w:szCs w:val="22"/>
              </w:rPr>
            </w:pPr>
          </w:p>
        </w:tc>
        <w:tc>
          <w:tcPr>
            <w:tcW w:w="981" w:type="pct"/>
            <w:vMerge w:val="continue"/>
            <w:vAlign w:val="center"/>
          </w:tcPr>
          <w:p w14:paraId="05984228">
            <w:pPr>
              <w:pStyle w:val="37"/>
              <w:widowControl w:val="0"/>
              <w:spacing w:line="360" w:lineRule="exact"/>
              <w:ind w:firstLine="0" w:firstLineChars="0"/>
              <w:jc w:val="center"/>
              <w:rPr>
                <w:rFonts w:ascii="Times New Roman"/>
                <w:color w:val="000000"/>
                <w:szCs w:val="22"/>
              </w:rPr>
            </w:pPr>
          </w:p>
        </w:tc>
        <w:tc>
          <w:tcPr>
            <w:tcW w:w="888" w:type="pct"/>
            <w:vAlign w:val="center"/>
          </w:tcPr>
          <w:p w14:paraId="3D2E9DFF">
            <w:pPr>
              <w:pStyle w:val="37"/>
              <w:widowControl w:val="0"/>
              <w:spacing w:line="360" w:lineRule="exact"/>
              <w:ind w:firstLine="0" w:firstLineChars="0"/>
              <w:jc w:val="center"/>
              <w:rPr>
                <w:rFonts w:ascii="Times New Roman"/>
                <w:color w:val="000000"/>
                <w:szCs w:val="22"/>
              </w:rPr>
            </w:pPr>
            <w:r>
              <w:rPr>
                <w:rFonts w:ascii="Times New Roman"/>
                <w:color w:val="000000"/>
                <w:szCs w:val="22"/>
              </w:rPr>
              <w:t>1级</w:t>
            </w:r>
          </w:p>
        </w:tc>
        <w:tc>
          <w:tcPr>
            <w:tcW w:w="740" w:type="pct"/>
            <w:vAlign w:val="center"/>
          </w:tcPr>
          <w:p w14:paraId="40701295">
            <w:pPr>
              <w:pStyle w:val="37"/>
              <w:widowControl w:val="0"/>
              <w:spacing w:line="360" w:lineRule="exact"/>
              <w:ind w:firstLine="0" w:firstLineChars="0"/>
              <w:jc w:val="center"/>
              <w:rPr>
                <w:rFonts w:ascii="Times New Roman"/>
                <w:color w:val="000000"/>
                <w:szCs w:val="22"/>
              </w:rPr>
            </w:pPr>
            <w:r>
              <w:rPr>
                <w:rFonts w:ascii="Times New Roman"/>
                <w:color w:val="000000"/>
                <w:szCs w:val="22"/>
              </w:rPr>
              <w:t>2级</w:t>
            </w:r>
          </w:p>
        </w:tc>
        <w:tc>
          <w:tcPr>
            <w:tcW w:w="723" w:type="pct"/>
            <w:vAlign w:val="center"/>
          </w:tcPr>
          <w:p w14:paraId="2685BAE4">
            <w:pPr>
              <w:pStyle w:val="37"/>
              <w:widowControl w:val="0"/>
              <w:spacing w:line="360" w:lineRule="exact"/>
              <w:ind w:firstLine="0" w:firstLineChars="0"/>
              <w:jc w:val="center"/>
              <w:rPr>
                <w:rFonts w:ascii="Times New Roman"/>
                <w:color w:val="000000"/>
                <w:szCs w:val="22"/>
              </w:rPr>
            </w:pPr>
            <w:r>
              <w:rPr>
                <w:rFonts w:ascii="Times New Roman"/>
                <w:color w:val="000000"/>
                <w:szCs w:val="22"/>
              </w:rPr>
              <w:t>3级</w:t>
            </w:r>
          </w:p>
        </w:tc>
      </w:tr>
      <w:tr w14:paraId="6A112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pct"/>
            <w:vAlign w:val="center"/>
          </w:tcPr>
          <w:p w14:paraId="34663854">
            <w:pPr>
              <w:pStyle w:val="37"/>
              <w:widowControl w:val="0"/>
              <w:spacing w:line="360" w:lineRule="exact"/>
              <w:ind w:firstLine="0" w:firstLineChars="0"/>
              <w:jc w:val="center"/>
              <w:rPr>
                <w:rFonts w:ascii="Times New Roman"/>
                <w:color w:val="000000"/>
                <w:szCs w:val="22"/>
              </w:rPr>
            </w:pPr>
            <w:r>
              <w:rPr>
                <w:rFonts w:ascii="Times New Roman"/>
                <w:color w:val="000000"/>
                <w:szCs w:val="22"/>
              </w:rPr>
              <w:t>CO</w:t>
            </w:r>
            <w:r>
              <w:rPr>
                <w:rFonts w:ascii="Times New Roman"/>
                <w:color w:val="000000"/>
                <w:szCs w:val="22"/>
                <w:vertAlign w:val="subscript"/>
              </w:rPr>
              <w:t>2</w:t>
            </w:r>
            <w:r>
              <w:rPr>
                <w:rFonts w:ascii="Times New Roman"/>
                <w:color w:val="000000"/>
                <w:szCs w:val="22"/>
              </w:rPr>
              <w:t>捕集率</w:t>
            </w:r>
          </w:p>
        </w:tc>
        <w:tc>
          <w:tcPr>
            <w:tcW w:w="981" w:type="pct"/>
            <w:vAlign w:val="center"/>
          </w:tcPr>
          <w:p w14:paraId="508BCB5A">
            <w:pPr>
              <w:pStyle w:val="37"/>
              <w:widowControl w:val="0"/>
              <w:spacing w:line="360" w:lineRule="exact"/>
              <w:ind w:firstLine="0" w:firstLineChars="0"/>
              <w:jc w:val="center"/>
              <w:rPr>
                <w:rFonts w:ascii="Times New Roman"/>
                <w:color w:val="000000"/>
                <w:szCs w:val="22"/>
              </w:rPr>
            </w:pPr>
            <w:r>
              <w:rPr>
                <w:rFonts w:ascii="Times New Roman"/>
                <w:color w:val="000000"/>
                <w:szCs w:val="22"/>
              </w:rPr>
              <w:t>%</w:t>
            </w:r>
          </w:p>
        </w:tc>
        <w:tc>
          <w:tcPr>
            <w:tcW w:w="888" w:type="pct"/>
            <w:vAlign w:val="center"/>
          </w:tcPr>
          <w:p w14:paraId="1E05178F">
            <w:pPr>
              <w:pStyle w:val="37"/>
              <w:widowControl w:val="0"/>
              <w:spacing w:line="360" w:lineRule="exact"/>
              <w:ind w:firstLine="0" w:firstLineChars="0"/>
              <w:jc w:val="center"/>
              <w:rPr>
                <w:rFonts w:ascii="Times New Roman"/>
                <w:color w:val="000000"/>
                <w:szCs w:val="22"/>
              </w:rPr>
            </w:pPr>
            <w:r>
              <w:rPr>
                <w:rFonts w:ascii="Times New Roman"/>
                <w:color w:val="000000"/>
                <w:szCs w:val="22"/>
              </w:rPr>
              <w:t>≥9</w:t>
            </w:r>
            <w:r>
              <w:rPr>
                <w:rFonts w:hint="eastAsia" w:ascii="Times New Roman"/>
                <w:color w:val="000000"/>
                <w:szCs w:val="22"/>
              </w:rPr>
              <w:t>0</w:t>
            </w:r>
          </w:p>
        </w:tc>
        <w:tc>
          <w:tcPr>
            <w:tcW w:w="740" w:type="pct"/>
            <w:vAlign w:val="center"/>
          </w:tcPr>
          <w:p w14:paraId="446596F3">
            <w:pPr>
              <w:pStyle w:val="37"/>
              <w:widowControl w:val="0"/>
              <w:spacing w:line="360" w:lineRule="exact"/>
              <w:ind w:firstLine="0" w:firstLineChars="0"/>
              <w:jc w:val="center"/>
              <w:rPr>
                <w:rFonts w:ascii="Times New Roman"/>
                <w:color w:val="000000"/>
                <w:szCs w:val="22"/>
              </w:rPr>
            </w:pPr>
            <w:r>
              <w:rPr>
                <w:rFonts w:ascii="Times New Roman"/>
                <w:color w:val="000000"/>
                <w:szCs w:val="22"/>
              </w:rPr>
              <w:t>≥</w:t>
            </w:r>
            <w:r>
              <w:rPr>
                <w:rFonts w:hint="eastAsia" w:ascii="Times New Roman"/>
                <w:color w:val="000000"/>
                <w:szCs w:val="22"/>
              </w:rPr>
              <w:t>8</w:t>
            </w:r>
            <w:r>
              <w:rPr>
                <w:rFonts w:ascii="Times New Roman"/>
                <w:color w:val="000000"/>
                <w:szCs w:val="22"/>
              </w:rPr>
              <w:t>5</w:t>
            </w:r>
          </w:p>
        </w:tc>
        <w:tc>
          <w:tcPr>
            <w:tcW w:w="723" w:type="pct"/>
            <w:vAlign w:val="center"/>
          </w:tcPr>
          <w:p w14:paraId="085CC57E">
            <w:pPr>
              <w:pStyle w:val="37"/>
              <w:widowControl w:val="0"/>
              <w:spacing w:line="360" w:lineRule="exact"/>
              <w:ind w:firstLine="0" w:firstLineChars="0"/>
              <w:jc w:val="center"/>
              <w:rPr>
                <w:rFonts w:ascii="Times New Roman"/>
                <w:color w:val="000000"/>
                <w:szCs w:val="22"/>
              </w:rPr>
            </w:pPr>
            <w:r>
              <w:rPr>
                <w:rFonts w:ascii="Times New Roman"/>
                <w:color w:val="000000"/>
                <w:szCs w:val="22"/>
              </w:rPr>
              <w:t>≥</w:t>
            </w:r>
            <w:r>
              <w:rPr>
                <w:rFonts w:hint="eastAsia" w:ascii="Times New Roman"/>
                <w:color w:val="000000"/>
                <w:szCs w:val="22"/>
              </w:rPr>
              <w:t>80</w:t>
            </w:r>
          </w:p>
        </w:tc>
      </w:tr>
      <w:tr w14:paraId="3834C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pct"/>
            <w:vAlign w:val="center"/>
          </w:tcPr>
          <w:p w14:paraId="2EBBB982">
            <w:pPr>
              <w:pStyle w:val="37"/>
              <w:widowControl w:val="0"/>
              <w:spacing w:line="360" w:lineRule="exact"/>
              <w:ind w:firstLine="0" w:firstLineChars="0"/>
              <w:jc w:val="center"/>
              <w:rPr>
                <w:rFonts w:ascii="Times New Roman"/>
                <w:color w:val="000000"/>
                <w:szCs w:val="22"/>
              </w:rPr>
            </w:pPr>
            <w:r>
              <w:rPr>
                <w:rFonts w:ascii="Times New Roman"/>
                <w:color w:val="000000"/>
                <w:szCs w:val="22"/>
              </w:rPr>
              <w:t>CO</w:t>
            </w:r>
            <w:r>
              <w:rPr>
                <w:rFonts w:ascii="Times New Roman"/>
                <w:color w:val="000000"/>
                <w:szCs w:val="22"/>
                <w:vertAlign w:val="subscript"/>
              </w:rPr>
              <w:t>2</w:t>
            </w:r>
            <w:r>
              <w:rPr>
                <w:rFonts w:ascii="Times New Roman"/>
                <w:color w:val="000000"/>
                <w:szCs w:val="22"/>
              </w:rPr>
              <w:t>产品纯度</w:t>
            </w:r>
          </w:p>
        </w:tc>
        <w:tc>
          <w:tcPr>
            <w:tcW w:w="981" w:type="pct"/>
            <w:vAlign w:val="center"/>
          </w:tcPr>
          <w:p w14:paraId="72C88F4F">
            <w:pPr>
              <w:pStyle w:val="37"/>
              <w:widowControl w:val="0"/>
              <w:spacing w:line="360" w:lineRule="exact"/>
              <w:ind w:firstLine="0" w:firstLineChars="0"/>
              <w:jc w:val="center"/>
              <w:rPr>
                <w:rFonts w:ascii="Times New Roman"/>
                <w:color w:val="000000"/>
                <w:szCs w:val="22"/>
              </w:rPr>
            </w:pPr>
            <w:r>
              <w:rPr>
                <w:rFonts w:ascii="Times New Roman"/>
                <w:color w:val="000000"/>
                <w:szCs w:val="22"/>
              </w:rPr>
              <w:t>%</w:t>
            </w:r>
          </w:p>
        </w:tc>
        <w:tc>
          <w:tcPr>
            <w:tcW w:w="888" w:type="pct"/>
            <w:vAlign w:val="center"/>
          </w:tcPr>
          <w:p w14:paraId="132EB6CC">
            <w:pPr>
              <w:pStyle w:val="37"/>
              <w:widowControl w:val="0"/>
              <w:spacing w:line="360" w:lineRule="exact"/>
              <w:ind w:firstLine="0" w:firstLineChars="0"/>
              <w:jc w:val="center"/>
              <w:rPr>
                <w:rFonts w:hint="eastAsia" w:ascii="Times New Roman" w:eastAsia="宋体"/>
                <w:color w:val="000000"/>
                <w:szCs w:val="22"/>
                <w:lang w:eastAsia="zh-CN"/>
              </w:rPr>
            </w:pPr>
            <w:r>
              <w:rPr>
                <w:rFonts w:ascii="Times New Roman"/>
                <w:color w:val="000000"/>
                <w:szCs w:val="22"/>
              </w:rPr>
              <w:t>≥9</w:t>
            </w:r>
            <w:r>
              <w:rPr>
                <w:rFonts w:hint="eastAsia" w:ascii="Times New Roman"/>
                <w:color w:val="000000"/>
                <w:szCs w:val="22"/>
                <w:lang w:val="en-US" w:eastAsia="zh-CN"/>
              </w:rPr>
              <w:t>5</w:t>
            </w:r>
            <w:bookmarkStart w:id="29" w:name="_GoBack"/>
            <w:bookmarkEnd w:id="29"/>
          </w:p>
        </w:tc>
        <w:tc>
          <w:tcPr>
            <w:tcW w:w="740" w:type="pct"/>
            <w:vAlign w:val="center"/>
          </w:tcPr>
          <w:p w14:paraId="02277592">
            <w:pPr>
              <w:pStyle w:val="37"/>
              <w:widowControl w:val="0"/>
              <w:spacing w:line="360" w:lineRule="exact"/>
              <w:ind w:firstLine="0" w:firstLineChars="0"/>
              <w:jc w:val="center"/>
              <w:rPr>
                <w:rFonts w:hint="eastAsia" w:ascii="Times New Roman" w:eastAsia="宋体"/>
                <w:color w:val="000000"/>
                <w:szCs w:val="22"/>
                <w:lang w:eastAsia="zh-CN"/>
              </w:rPr>
            </w:pPr>
            <w:r>
              <w:rPr>
                <w:rFonts w:ascii="Times New Roman"/>
                <w:color w:val="000000"/>
                <w:szCs w:val="22"/>
              </w:rPr>
              <w:t>≥9</w:t>
            </w:r>
            <w:r>
              <w:rPr>
                <w:rFonts w:hint="eastAsia" w:ascii="Times New Roman"/>
                <w:color w:val="000000"/>
                <w:szCs w:val="22"/>
                <w:lang w:val="en-US" w:eastAsia="zh-CN"/>
              </w:rPr>
              <w:t>5</w:t>
            </w:r>
          </w:p>
        </w:tc>
        <w:tc>
          <w:tcPr>
            <w:tcW w:w="723" w:type="pct"/>
            <w:vAlign w:val="center"/>
          </w:tcPr>
          <w:p w14:paraId="3ED62420">
            <w:pPr>
              <w:pStyle w:val="37"/>
              <w:widowControl w:val="0"/>
              <w:spacing w:line="360" w:lineRule="exact"/>
              <w:ind w:firstLine="0" w:firstLineChars="0"/>
              <w:jc w:val="center"/>
              <w:rPr>
                <w:rFonts w:ascii="Times New Roman"/>
                <w:color w:val="000000"/>
                <w:szCs w:val="22"/>
              </w:rPr>
            </w:pPr>
            <w:r>
              <w:rPr>
                <w:rFonts w:ascii="Times New Roman"/>
                <w:color w:val="000000"/>
                <w:szCs w:val="22"/>
              </w:rPr>
              <w:t>≥9</w:t>
            </w:r>
            <w:r>
              <w:rPr>
                <w:rFonts w:hint="eastAsia" w:ascii="Times New Roman"/>
                <w:color w:val="000000"/>
                <w:szCs w:val="22"/>
              </w:rPr>
              <w:t>5</w:t>
            </w:r>
          </w:p>
        </w:tc>
      </w:tr>
      <w:tr w14:paraId="77B6A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pct"/>
            <w:vAlign w:val="center"/>
          </w:tcPr>
          <w:p w14:paraId="5AECA532">
            <w:pPr>
              <w:pStyle w:val="37"/>
              <w:widowControl w:val="0"/>
              <w:spacing w:line="360" w:lineRule="exact"/>
              <w:ind w:firstLine="0" w:firstLineChars="0"/>
              <w:jc w:val="center"/>
              <w:rPr>
                <w:rFonts w:ascii="Times New Roman"/>
                <w:color w:val="000000"/>
                <w:szCs w:val="22"/>
              </w:rPr>
            </w:pPr>
            <w:r>
              <w:rPr>
                <w:rFonts w:ascii="Times New Roman"/>
                <w:color w:val="000000"/>
                <w:szCs w:val="22"/>
              </w:rPr>
              <w:t>再生能耗</w:t>
            </w:r>
          </w:p>
        </w:tc>
        <w:tc>
          <w:tcPr>
            <w:tcW w:w="981" w:type="pct"/>
            <w:vAlign w:val="center"/>
          </w:tcPr>
          <w:p w14:paraId="438A5704">
            <w:pPr>
              <w:pStyle w:val="37"/>
              <w:widowControl w:val="0"/>
              <w:spacing w:line="360" w:lineRule="exact"/>
              <w:ind w:firstLine="0" w:firstLineChars="0"/>
              <w:jc w:val="center"/>
              <w:rPr>
                <w:rFonts w:ascii="Times New Roman"/>
                <w:color w:val="000000"/>
                <w:szCs w:val="22"/>
              </w:rPr>
            </w:pPr>
            <w:r>
              <w:rPr>
                <w:rFonts w:ascii="Times New Roman"/>
                <w:color w:val="000000"/>
                <w:szCs w:val="22"/>
              </w:rPr>
              <w:t>GJ/tCO</w:t>
            </w:r>
            <w:r>
              <w:rPr>
                <w:rFonts w:ascii="Times New Roman"/>
                <w:color w:val="000000"/>
                <w:szCs w:val="22"/>
                <w:vertAlign w:val="subscript"/>
              </w:rPr>
              <w:t>2</w:t>
            </w:r>
          </w:p>
        </w:tc>
        <w:tc>
          <w:tcPr>
            <w:tcW w:w="888" w:type="pct"/>
            <w:vAlign w:val="center"/>
          </w:tcPr>
          <w:p w14:paraId="2D3904DA">
            <w:pPr>
              <w:pStyle w:val="37"/>
              <w:widowControl w:val="0"/>
              <w:spacing w:line="360" w:lineRule="exact"/>
              <w:ind w:firstLine="0" w:firstLineChars="0"/>
              <w:jc w:val="center"/>
              <w:rPr>
                <w:rFonts w:ascii="Times New Roman"/>
                <w:color w:val="000000"/>
                <w:szCs w:val="22"/>
              </w:rPr>
            </w:pPr>
            <w:r>
              <w:rPr>
                <w:rFonts w:ascii="Times New Roman"/>
                <w:color w:val="000000"/>
                <w:szCs w:val="22"/>
              </w:rPr>
              <w:t>≤</w:t>
            </w:r>
            <w:r>
              <w:rPr>
                <w:rFonts w:hint="eastAsia" w:ascii="Times New Roman"/>
                <w:color w:val="000000"/>
                <w:szCs w:val="22"/>
              </w:rPr>
              <w:t>2.5</w:t>
            </w:r>
          </w:p>
        </w:tc>
        <w:tc>
          <w:tcPr>
            <w:tcW w:w="740" w:type="pct"/>
            <w:vAlign w:val="center"/>
          </w:tcPr>
          <w:p w14:paraId="7F7BF536">
            <w:pPr>
              <w:pStyle w:val="37"/>
              <w:widowControl w:val="0"/>
              <w:spacing w:line="360" w:lineRule="exact"/>
              <w:ind w:firstLine="0" w:firstLineChars="0"/>
              <w:jc w:val="center"/>
              <w:rPr>
                <w:rFonts w:ascii="Times New Roman"/>
                <w:color w:val="000000"/>
                <w:szCs w:val="22"/>
              </w:rPr>
            </w:pPr>
            <w:r>
              <w:rPr>
                <w:rFonts w:ascii="Times New Roman"/>
                <w:color w:val="000000"/>
                <w:szCs w:val="22"/>
              </w:rPr>
              <w:t>≤</w:t>
            </w:r>
            <w:r>
              <w:rPr>
                <w:rFonts w:hint="eastAsia" w:ascii="Times New Roman"/>
                <w:color w:val="000000"/>
                <w:szCs w:val="22"/>
              </w:rPr>
              <w:t>3.0</w:t>
            </w:r>
          </w:p>
        </w:tc>
        <w:tc>
          <w:tcPr>
            <w:tcW w:w="723" w:type="pct"/>
            <w:vAlign w:val="center"/>
          </w:tcPr>
          <w:p w14:paraId="517B0689">
            <w:pPr>
              <w:pStyle w:val="37"/>
              <w:widowControl w:val="0"/>
              <w:spacing w:line="360" w:lineRule="exact"/>
              <w:ind w:firstLine="0" w:firstLineChars="0"/>
              <w:jc w:val="center"/>
              <w:rPr>
                <w:rFonts w:ascii="Times New Roman"/>
                <w:color w:val="000000"/>
                <w:szCs w:val="22"/>
              </w:rPr>
            </w:pPr>
            <w:r>
              <w:rPr>
                <w:rFonts w:ascii="Times New Roman"/>
                <w:color w:val="000000"/>
                <w:szCs w:val="22"/>
              </w:rPr>
              <w:t>≤</w:t>
            </w:r>
            <w:r>
              <w:rPr>
                <w:rFonts w:hint="eastAsia" w:ascii="Times New Roman"/>
                <w:color w:val="000000"/>
                <w:szCs w:val="22"/>
              </w:rPr>
              <w:t>4</w:t>
            </w:r>
            <w:r>
              <w:rPr>
                <w:rFonts w:ascii="Times New Roman"/>
                <w:color w:val="000000"/>
                <w:szCs w:val="22"/>
              </w:rPr>
              <w:t>.0</w:t>
            </w:r>
          </w:p>
        </w:tc>
      </w:tr>
    </w:tbl>
    <w:p w14:paraId="26DE3981">
      <w:pPr>
        <w:keepNext/>
        <w:keepLines/>
        <w:spacing w:before="120" w:after="120"/>
        <w:outlineLvl w:val="0"/>
        <w:rPr>
          <w:b/>
          <w:bCs/>
          <w:kern w:val="44"/>
          <w:szCs w:val="44"/>
        </w:rPr>
      </w:pPr>
      <w:r>
        <w:rPr>
          <w:rFonts w:hint="eastAsia"/>
          <w:b/>
          <w:bCs/>
          <w:kern w:val="44"/>
          <w:szCs w:val="44"/>
        </w:rPr>
        <w:t>5.2 经济指标</w:t>
      </w:r>
    </w:p>
    <w:p w14:paraId="3650E1E8">
      <w:pPr>
        <w:widowControl/>
        <w:autoSpaceDE w:val="0"/>
        <w:autoSpaceDN w:val="0"/>
        <w:spacing w:line="360" w:lineRule="exact"/>
        <w:ind w:firstLine="420" w:firstLineChars="200"/>
        <w:rPr>
          <w:color w:val="000000"/>
          <w:kern w:val="0"/>
          <w:szCs w:val="22"/>
        </w:rPr>
      </w:pPr>
      <w:r>
        <w:rPr>
          <w:color w:val="000000"/>
          <w:kern w:val="0"/>
          <w:szCs w:val="22"/>
        </w:rPr>
        <w:t>本文件给出了燃料型炼油企业、传统炼化一体化企业和新型炼化一体化企业的单位原（料）油化学吸收法捕集二氧化碳的经济指标，包括：每吨</w:t>
      </w:r>
      <w:r>
        <w:rPr>
          <w:rFonts w:hint="eastAsia"/>
          <w:kern w:val="0"/>
          <w:szCs w:val="20"/>
        </w:rPr>
        <w:t>CO</w:t>
      </w:r>
      <w:r>
        <w:rPr>
          <w:rFonts w:hint="eastAsia"/>
          <w:kern w:val="0"/>
          <w:szCs w:val="20"/>
          <w:vertAlign w:val="subscript"/>
        </w:rPr>
        <w:t>2</w:t>
      </w:r>
      <w:r>
        <w:rPr>
          <w:color w:val="000000"/>
          <w:kern w:val="0"/>
          <w:szCs w:val="22"/>
        </w:rPr>
        <w:t>捕集运行成本。</w:t>
      </w:r>
    </w:p>
    <w:p w14:paraId="57F7452A">
      <w:pPr>
        <w:widowControl/>
        <w:autoSpaceDE w:val="0"/>
        <w:autoSpaceDN w:val="0"/>
        <w:spacing w:line="360" w:lineRule="exact"/>
        <w:ind w:firstLine="420" w:firstLineChars="200"/>
        <w:rPr>
          <w:color w:val="000000"/>
          <w:kern w:val="0"/>
          <w:szCs w:val="22"/>
        </w:rPr>
      </w:pPr>
      <w:r>
        <w:rPr>
          <w:color w:val="000000"/>
          <w:kern w:val="0"/>
          <w:szCs w:val="22"/>
        </w:rPr>
        <w:t>每个技术指标分为三级，其中1级指标为鼓励性指标。</w:t>
      </w:r>
    </w:p>
    <w:p w14:paraId="44254BD3">
      <w:pPr>
        <w:widowControl/>
        <w:autoSpaceDE w:val="0"/>
        <w:autoSpaceDN w:val="0"/>
        <w:spacing w:line="360" w:lineRule="exact"/>
        <w:ind w:firstLine="420" w:firstLineChars="200"/>
        <w:rPr>
          <w:color w:val="000000"/>
          <w:kern w:val="0"/>
          <w:szCs w:val="22"/>
        </w:rPr>
      </w:pPr>
      <w:r>
        <w:rPr>
          <w:color w:val="000000"/>
          <w:kern w:val="0"/>
          <w:szCs w:val="22"/>
        </w:rPr>
        <w:t>1级指标为领先水平；</w:t>
      </w:r>
    </w:p>
    <w:p w14:paraId="65DAC93F">
      <w:pPr>
        <w:widowControl/>
        <w:autoSpaceDE w:val="0"/>
        <w:autoSpaceDN w:val="0"/>
        <w:spacing w:line="360" w:lineRule="exact"/>
        <w:ind w:firstLine="420" w:firstLineChars="200"/>
        <w:rPr>
          <w:color w:val="000000"/>
          <w:kern w:val="0"/>
          <w:szCs w:val="22"/>
        </w:rPr>
      </w:pPr>
      <w:r>
        <w:rPr>
          <w:color w:val="000000"/>
          <w:kern w:val="0"/>
          <w:szCs w:val="22"/>
        </w:rPr>
        <w:t>2级指标为先进水平；</w:t>
      </w:r>
    </w:p>
    <w:p w14:paraId="15676FCC">
      <w:pPr>
        <w:widowControl/>
        <w:autoSpaceDE w:val="0"/>
        <w:autoSpaceDN w:val="0"/>
        <w:spacing w:line="360" w:lineRule="exact"/>
        <w:ind w:firstLine="420" w:firstLineChars="200"/>
        <w:rPr>
          <w:color w:val="000000"/>
          <w:kern w:val="0"/>
          <w:szCs w:val="22"/>
        </w:rPr>
      </w:pPr>
      <w:r>
        <w:rPr>
          <w:color w:val="000000"/>
          <w:kern w:val="0"/>
          <w:szCs w:val="22"/>
        </w:rPr>
        <w:t>3级指标为基本水平。</w:t>
      </w:r>
    </w:p>
    <w:p w14:paraId="3C38ACE4">
      <w:pPr>
        <w:widowControl/>
        <w:autoSpaceDE w:val="0"/>
        <w:autoSpaceDN w:val="0"/>
        <w:spacing w:line="360" w:lineRule="exact"/>
        <w:ind w:firstLine="420" w:firstLineChars="200"/>
        <w:rPr>
          <w:color w:val="000000"/>
          <w:kern w:val="0"/>
          <w:szCs w:val="22"/>
        </w:rPr>
      </w:pPr>
      <w:r>
        <w:rPr>
          <w:color w:val="000000"/>
          <w:kern w:val="0"/>
          <w:szCs w:val="22"/>
        </w:rPr>
        <w:t>碳捕集经济评价指标见表4。</w:t>
      </w:r>
    </w:p>
    <w:p w14:paraId="654D811D">
      <w:pPr>
        <w:widowControl/>
        <w:autoSpaceDE w:val="0"/>
        <w:autoSpaceDN w:val="0"/>
        <w:spacing w:line="360" w:lineRule="exact"/>
        <w:jc w:val="center"/>
        <w:rPr>
          <w:color w:val="000000"/>
          <w:kern w:val="0"/>
          <w:szCs w:val="22"/>
        </w:rPr>
      </w:pPr>
      <w:r>
        <w:rPr>
          <w:color w:val="000000"/>
          <w:kern w:val="0"/>
          <w:szCs w:val="22"/>
        </w:rPr>
        <w:t>表4. 炼油行业不同捕集纯化方法经济水平分级</w:t>
      </w:r>
    </w:p>
    <w:tbl>
      <w:tblPr>
        <w:tblStyle w:val="50"/>
        <w:tblW w:w="37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1928"/>
        <w:gridCol w:w="870"/>
        <w:gridCol w:w="939"/>
        <w:gridCol w:w="1016"/>
      </w:tblGrid>
      <w:tr w14:paraId="1E043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669" w:type="pct"/>
            <w:vMerge w:val="restart"/>
            <w:shd w:val="clear" w:color="auto" w:fill="auto"/>
            <w:vAlign w:val="center"/>
          </w:tcPr>
          <w:p w14:paraId="695F3104">
            <w:pPr>
              <w:autoSpaceDE w:val="0"/>
              <w:autoSpaceDN w:val="0"/>
              <w:spacing w:line="360" w:lineRule="exact"/>
              <w:jc w:val="center"/>
              <w:rPr>
                <w:color w:val="000000"/>
                <w:kern w:val="0"/>
                <w:szCs w:val="22"/>
              </w:rPr>
            </w:pPr>
            <w:r>
              <w:rPr>
                <w:color w:val="000000"/>
                <w:kern w:val="0"/>
                <w:szCs w:val="22"/>
              </w:rPr>
              <w:t>捕集纯化方法</w:t>
            </w:r>
          </w:p>
        </w:tc>
        <w:tc>
          <w:tcPr>
            <w:tcW w:w="1351" w:type="pct"/>
            <w:vMerge w:val="restart"/>
            <w:shd w:val="clear" w:color="auto" w:fill="auto"/>
            <w:vAlign w:val="center"/>
          </w:tcPr>
          <w:p w14:paraId="03E84D7C">
            <w:pPr>
              <w:autoSpaceDE w:val="0"/>
              <w:autoSpaceDN w:val="0"/>
              <w:spacing w:line="360" w:lineRule="exact"/>
              <w:jc w:val="center"/>
              <w:rPr>
                <w:color w:val="000000"/>
                <w:kern w:val="0"/>
                <w:szCs w:val="22"/>
              </w:rPr>
            </w:pPr>
            <w:r>
              <w:rPr>
                <w:color w:val="000000"/>
                <w:kern w:val="0"/>
                <w:szCs w:val="22"/>
              </w:rPr>
              <w:t>单位</w:t>
            </w:r>
          </w:p>
        </w:tc>
        <w:tc>
          <w:tcPr>
            <w:tcW w:w="1980" w:type="pct"/>
            <w:gridSpan w:val="3"/>
            <w:shd w:val="clear" w:color="auto" w:fill="auto"/>
            <w:vAlign w:val="center"/>
          </w:tcPr>
          <w:p w14:paraId="01F13829">
            <w:pPr>
              <w:autoSpaceDE w:val="0"/>
              <w:autoSpaceDN w:val="0"/>
              <w:spacing w:line="360" w:lineRule="exact"/>
              <w:jc w:val="center"/>
              <w:rPr>
                <w:color w:val="000000"/>
                <w:kern w:val="0"/>
                <w:szCs w:val="22"/>
              </w:rPr>
            </w:pPr>
            <w:r>
              <w:rPr>
                <w:color w:val="000000"/>
                <w:kern w:val="0"/>
                <w:szCs w:val="22"/>
              </w:rPr>
              <w:t>指标</w:t>
            </w:r>
          </w:p>
        </w:tc>
      </w:tr>
      <w:tr w14:paraId="7B2DB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669" w:type="pct"/>
            <w:vMerge w:val="continue"/>
            <w:shd w:val="clear" w:color="auto" w:fill="auto"/>
            <w:vAlign w:val="center"/>
          </w:tcPr>
          <w:p w14:paraId="223938C2">
            <w:pPr>
              <w:numPr>
                <w:ilvl w:val="0"/>
                <w:numId w:val="31"/>
              </w:numPr>
              <w:autoSpaceDE w:val="0"/>
              <w:autoSpaceDN w:val="0"/>
              <w:spacing w:line="360" w:lineRule="exact"/>
              <w:ind w:left="0" w:firstLine="0"/>
              <w:jc w:val="center"/>
              <w:rPr>
                <w:color w:val="000000"/>
                <w:kern w:val="0"/>
                <w:szCs w:val="22"/>
              </w:rPr>
            </w:pPr>
          </w:p>
        </w:tc>
        <w:tc>
          <w:tcPr>
            <w:tcW w:w="1351" w:type="pct"/>
            <w:vMerge w:val="continue"/>
            <w:shd w:val="clear" w:color="auto" w:fill="auto"/>
            <w:vAlign w:val="center"/>
          </w:tcPr>
          <w:p w14:paraId="084320E1">
            <w:pPr>
              <w:numPr>
                <w:ilvl w:val="0"/>
                <w:numId w:val="31"/>
              </w:numPr>
              <w:autoSpaceDE w:val="0"/>
              <w:autoSpaceDN w:val="0"/>
              <w:spacing w:line="360" w:lineRule="exact"/>
              <w:ind w:left="0" w:firstLine="0"/>
              <w:jc w:val="center"/>
              <w:rPr>
                <w:color w:val="000000"/>
                <w:kern w:val="0"/>
                <w:szCs w:val="22"/>
              </w:rPr>
            </w:pPr>
          </w:p>
        </w:tc>
        <w:tc>
          <w:tcPr>
            <w:tcW w:w="610" w:type="pct"/>
            <w:shd w:val="clear" w:color="auto" w:fill="auto"/>
            <w:vAlign w:val="center"/>
          </w:tcPr>
          <w:p w14:paraId="12510646">
            <w:pPr>
              <w:autoSpaceDE w:val="0"/>
              <w:autoSpaceDN w:val="0"/>
              <w:spacing w:line="360" w:lineRule="exact"/>
              <w:jc w:val="center"/>
              <w:rPr>
                <w:color w:val="000000"/>
                <w:kern w:val="0"/>
                <w:szCs w:val="22"/>
              </w:rPr>
            </w:pPr>
            <w:r>
              <w:rPr>
                <w:color w:val="000000"/>
                <w:kern w:val="0"/>
                <w:szCs w:val="22"/>
              </w:rPr>
              <w:t>1级</w:t>
            </w:r>
          </w:p>
        </w:tc>
        <w:tc>
          <w:tcPr>
            <w:tcW w:w="658" w:type="pct"/>
            <w:shd w:val="clear" w:color="auto" w:fill="auto"/>
            <w:vAlign w:val="center"/>
          </w:tcPr>
          <w:p w14:paraId="496A5730">
            <w:pPr>
              <w:autoSpaceDE w:val="0"/>
              <w:autoSpaceDN w:val="0"/>
              <w:spacing w:line="360" w:lineRule="exact"/>
              <w:jc w:val="center"/>
              <w:rPr>
                <w:color w:val="000000"/>
                <w:kern w:val="0"/>
                <w:szCs w:val="22"/>
              </w:rPr>
            </w:pPr>
            <w:r>
              <w:rPr>
                <w:color w:val="000000"/>
                <w:kern w:val="0"/>
                <w:szCs w:val="22"/>
              </w:rPr>
              <w:t>2级</w:t>
            </w:r>
          </w:p>
        </w:tc>
        <w:tc>
          <w:tcPr>
            <w:tcW w:w="712" w:type="pct"/>
            <w:shd w:val="clear" w:color="auto" w:fill="auto"/>
            <w:vAlign w:val="center"/>
          </w:tcPr>
          <w:p w14:paraId="0F9FA947">
            <w:pPr>
              <w:autoSpaceDE w:val="0"/>
              <w:autoSpaceDN w:val="0"/>
              <w:spacing w:line="360" w:lineRule="exact"/>
              <w:jc w:val="center"/>
              <w:rPr>
                <w:color w:val="000000"/>
                <w:kern w:val="0"/>
                <w:szCs w:val="22"/>
              </w:rPr>
            </w:pPr>
            <w:r>
              <w:rPr>
                <w:color w:val="000000"/>
                <w:kern w:val="0"/>
                <w:szCs w:val="22"/>
              </w:rPr>
              <w:t>3级</w:t>
            </w:r>
          </w:p>
        </w:tc>
      </w:tr>
      <w:tr w14:paraId="29EC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669" w:type="pct"/>
            <w:shd w:val="clear" w:color="auto" w:fill="auto"/>
            <w:vAlign w:val="center"/>
          </w:tcPr>
          <w:p w14:paraId="24EA1140">
            <w:pPr>
              <w:autoSpaceDE w:val="0"/>
              <w:autoSpaceDN w:val="0"/>
              <w:spacing w:line="360" w:lineRule="exact"/>
              <w:jc w:val="center"/>
              <w:rPr>
                <w:color w:val="000000"/>
                <w:kern w:val="0"/>
                <w:szCs w:val="22"/>
              </w:rPr>
            </w:pPr>
            <w:r>
              <w:rPr>
                <w:color w:val="000000"/>
                <w:kern w:val="0"/>
                <w:szCs w:val="22"/>
              </w:rPr>
              <w:t>化学吸收法</w:t>
            </w:r>
          </w:p>
        </w:tc>
        <w:tc>
          <w:tcPr>
            <w:tcW w:w="1351" w:type="pct"/>
            <w:shd w:val="clear" w:color="auto" w:fill="auto"/>
            <w:vAlign w:val="center"/>
          </w:tcPr>
          <w:p w14:paraId="42A47B2C">
            <w:pPr>
              <w:autoSpaceDE w:val="0"/>
              <w:autoSpaceDN w:val="0"/>
              <w:spacing w:line="360" w:lineRule="exact"/>
              <w:jc w:val="center"/>
              <w:rPr>
                <w:color w:val="000000"/>
                <w:kern w:val="0"/>
                <w:szCs w:val="22"/>
              </w:rPr>
            </w:pPr>
            <w:r>
              <w:rPr>
                <w:color w:val="000000"/>
                <w:kern w:val="0"/>
                <w:szCs w:val="22"/>
              </w:rPr>
              <w:t>元/吨</w:t>
            </w:r>
            <w:r>
              <w:rPr>
                <w:rFonts w:hint="eastAsia"/>
                <w:kern w:val="0"/>
                <w:szCs w:val="20"/>
              </w:rPr>
              <w:t>CO</w:t>
            </w:r>
            <w:r>
              <w:rPr>
                <w:rFonts w:hint="eastAsia"/>
                <w:kern w:val="0"/>
                <w:szCs w:val="20"/>
                <w:vertAlign w:val="subscript"/>
              </w:rPr>
              <w:t>2</w:t>
            </w:r>
          </w:p>
        </w:tc>
        <w:tc>
          <w:tcPr>
            <w:tcW w:w="610" w:type="pct"/>
            <w:shd w:val="clear" w:color="auto" w:fill="auto"/>
            <w:vAlign w:val="center"/>
          </w:tcPr>
          <w:p w14:paraId="3B16264B">
            <w:pPr>
              <w:autoSpaceDE w:val="0"/>
              <w:autoSpaceDN w:val="0"/>
              <w:spacing w:line="360" w:lineRule="exact"/>
              <w:jc w:val="center"/>
              <w:rPr>
                <w:color w:val="000000"/>
                <w:kern w:val="0"/>
                <w:szCs w:val="22"/>
              </w:rPr>
            </w:pPr>
            <w:r>
              <w:rPr>
                <w:color w:val="000000"/>
                <w:kern w:val="0"/>
                <w:szCs w:val="22"/>
              </w:rPr>
              <w:t>≤200</w:t>
            </w:r>
          </w:p>
        </w:tc>
        <w:tc>
          <w:tcPr>
            <w:tcW w:w="658" w:type="pct"/>
            <w:shd w:val="clear" w:color="auto" w:fill="auto"/>
            <w:vAlign w:val="center"/>
          </w:tcPr>
          <w:p w14:paraId="5BC7E6E2">
            <w:pPr>
              <w:autoSpaceDE w:val="0"/>
              <w:autoSpaceDN w:val="0"/>
              <w:spacing w:line="360" w:lineRule="exact"/>
              <w:jc w:val="center"/>
              <w:rPr>
                <w:color w:val="000000"/>
                <w:kern w:val="0"/>
                <w:szCs w:val="22"/>
              </w:rPr>
            </w:pPr>
            <w:r>
              <w:rPr>
                <w:color w:val="000000"/>
                <w:kern w:val="0"/>
                <w:szCs w:val="22"/>
              </w:rPr>
              <w:t>≤300</w:t>
            </w:r>
          </w:p>
        </w:tc>
        <w:tc>
          <w:tcPr>
            <w:tcW w:w="712" w:type="pct"/>
            <w:shd w:val="clear" w:color="auto" w:fill="auto"/>
            <w:vAlign w:val="center"/>
          </w:tcPr>
          <w:p w14:paraId="1EF14B90">
            <w:pPr>
              <w:autoSpaceDE w:val="0"/>
              <w:autoSpaceDN w:val="0"/>
              <w:spacing w:line="360" w:lineRule="exact"/>
              <w:jc w:val="center"/>
              <w:rPr>
                <w:color w:val="000000"/>
                <w:kern w:val="0"/>
                <w:szCs w:val="22"/>
              </w:rPr>
            </w:pPr>
            <w:r>
              <w:rPr>
                <w:color w:val="000000"/>
                <w:kern w:val="0"/>
                <w:szCs w:val="22"/>
              </w:rPr>
              <w:t>≤400</w:t>
            </w:r>
          </w:p>
        </w:tc>
      </w:tr>
      <w:tr w14:paraId="6AB44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669" w:type="pct"/>
            <w:shd w:val="clear" w:color="auto" w:fill="auto"/>
            <w:vAlign w:val="center"/>
          </w:tcPr>
          <w:p w14:paraId="745769E5">
            <w:pPr>
              <w:autoSpaceDE w:val="0"/>
              <w:autoSpaceDN w:val="0"/>
              <w:spacing w:line="360" w:lineRule="exact"/>
              <w:jc w:val="center"/>
              <w:rPr>
                <w:color w:val="000000"/>
                <w:kern w:val="0"/>
                <w:szCs w:val="22"/>
              </w:rPr>
            </w:pPr>
            <w:r>
              <w:rPr>
                <w:color w:val="000000"/>
                <w:kern w:val="0"/>
                <w:szCs w:val="22"/>
              </w:rPr>
              <w:t>固体吸附法</w:t>
            </w:r>
          </w:p>
        </w:tc>
        <w:tc>
          <w:tcPr>
            <w:tcW w:w="1351" w:type="pct"/>
            <w:shd w:val="clear" w:color="auto" w:fill="auto"/>
            <w:vAlign w:val="center"/>
          </w:tcPr>
          <w:p w14:paraId="58866083">
            <w:pPr>
              <w:autoSpaceDE w:val="0"/>
              <w:autoSpaceDN w:val="0"/>
              <w:spacing w:line="360" w:lineRule="exact"/>
              <w:jc w:val="center"/>
              <w:rPr>
                <w:color w:val="000000"/>
                <w:kern w:val="0"/>
                <w:szCs w:val="22"/>
              </w:rPr>
            </w:pPr>
            <w:r>
              <w:rPr>
                <w:color w:val="000000"/>
                <w:kern w:val="0"/>
                <w:szCs w:val="22"/>
              </w:rPr>
              <w:t>元/吨</w:t>
            </w:r>
            <w:r>
              <w:rPr>
                <w:rFonts w:hint="eastAsia"/>
                <w:kern w:val="0"/>
                <w:szCs w:val="20"/>
              </w:rPr>
              <w:t>CO</w:t>
            </w:r>
            <w:r>
              <w:rPr>
                <w:rFonts w:hint="eastAsia"/>
                <w:kern w:val="0"/>
                <w:szCs w:val="20"/>
                <w:vertAlign w:val="subscript"/>
              </w:rPr>
              <w:t>2</w:t>
            </w:r>
          </w:p>
        </w:tc>
        <w:tc>
          <w:tcPr>
            <w:tcW w:w="610" w:type="pct"/>
            <w:shd w:val="clear" w:color="auto" w:fill="auto"/>
            <w:vAlign w:val="center"/>
          </w:tcPr>
          <w:p w14:paraId="36317834">
            <w:pPr>
              <w:autoSpaceDE w:val="0"/>
              <w:autoSpaceDN w:val="0"/>
              <w:spacing w:line="360" w:lineRule="exact"/>
              <w:jc w:val="center"/>
              <w:rPr>
                <w:color w:val="000000"/>
                <w:kern w:val="0"/>
                <w:szCs w:val="22"/>
              </w:rPr>
            </w:pPr>
            <w:r>
              <w:rPr>
                <w:color w:val="000000"/>
                <w:kern w:val="0"/>
                <w:szCs w:val="22"/>
              </w:rPr>
              <w:t>≤200</w:t>
            </w:r>
          </w:p>
        </w:tc>
        <w:tc>
          <w:tcPr>
            <w:tcW w:w="658" w:type="pct"/>
            <w:shd w:val="clear" w:color="auto" w:fill="auto"/>
            <w:vAlign w:val="center"/>
          </w:tcPr>
          <w:p w14:paraId="22DD2AF9">
            <w:pPr>
              <w:autoSpaceDE w:val="0"/>
              <w:autoSpaceDN w:val="0"/>
              <w:spacing w:line="360" w:lineRule="exact"/>
              <w:jc w:val="center"/>
              <w:rPr>
                <w:color w:val="000000"/>
                <w:kern w:val="0"/>
                <w:szCs w:val="22"/>
              </w:rPr>
            </w:pPr>
            <w:r>
              <w:rPr>
                <w:color w:val="000000"/>
                <w:kern w:val="0"/>
                <w:szCs w:val="22"/>
              </w:rPr>
              <w:t>≤300</w:t>
            </w:r>
          </w:p>
        </w:tc>
        <w:tc>
          <w:tcPr>
            <w:tcW w:w="712" w:type="pct"/>
            <w:shd w:val="clear" w:color="auto" w:fill="auto"/>
            <w:vAlign w:val="center"/>
          </w:tcPr>
          <w:p w14:paraId="19C66242">
            <w:pPr>
              <w:autoSpaceDE w:val="0"/>
              <w:autoSpaceDN w:val="0"/>
              <w:spacing w:line="360" w:lineRule="exact"/>
              <w:jc w:val="center"/>
              <w:rPr>
                <w:color w:val="000000"/>
                <w:kern w:val="0"/>
                <w:szCs w:val="22"/>
              </w:rPr>
            </w:pPr>
            <w:r>
              <w:rPr>
                <w:color w:val="000000"/>
                <w:kern w:val="0"/>
                <w:szCs w:val="22"/>
              </w:rPr>
              <w:t>≤400</w:t>
            </w:r>
          </w:p>
        </w:tc>
      </w:tr>
      <w:tr w14:paraId="28B46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69" w:type="pct"/>
            <w:shd w:val="clear" w:color="auto" w:fill="auto"/>
            <w:vAlign w:val="center"/>
          </w:tcPr>
          <w:p w14:paraId="206C4333">
            <w:pPr>
              <w:autoSpaceDE w:val="0"/>
              <w:autoSpaceDN w:val="0"/>
              <w:spacing w:line="360" w:lineRule="exact"/>
              <w:jc w:val="center"/>
              <w:rPr>
                <w:color w:val="000000"/>
                <w:kern w:val="0"/>
                <w:szCs w:val="22"/>
              </w:rPr>
            </w:pPr>
            <w:r>
              <w:rPr>
                <w:color w:val="000000"/>
                <w:kern w:val="0"/>
                <w:szCs w:val="22"/>
              </w:rPr>
              <w:t>膜分离法</w:t>
            </w:r>
          </w:p>
        </w:tc>
        <w:tc>
          <w:tcPr>
            <w:tcW w:w="1351" w:type="pct"/>
            <w:shd w:val="clear" w:color="auto" w:fill="auto"/>
            <w:vAlign w:val="center"/>
          </w:tcPr>
          <w:p w14:paraId="745ABDE9">
            <w:pPr>
              <w:autoSpaceDE w:val="0"/>
              <w:autoSpaceDN w:val="0"/>
              <w:spacing w:line="360" w:lineRule="exact"/>
              <w:jc w:val="center"/>
              <w:rPr>
                <w:color w:val="000000"/>
                <w:kern w:val="0"/>
                <w:szCs w:val="22"/>
              </w:rPr>
            </w:pPr>
            <w:r>
              <w:rPr>
                <w:color w:val="000000"/>
                <w:kern w:val="0"/>
                <w:szCs w:val="22"/>
              </w:rPr>
              <w:t>元/吨</w:t>
            </w:r>
            <w:r>
              <w:rPr>
                <w:rFonts w:hint="eastAsia"/>
                <w:kern w:val="0"/>
                <w:szCs w:val="20"/>
              </w:rPr>
              <w:t>CO</w:t>
            </w:r>
            <w:r>
              <w:rPr>
                <w:rFonts w:hint="eastAsia"/>
                <w:kern w:val="0"/>
                <w:szCs w:val="20"/>
                <w:vertAlign w:val="subscript"/>
              </w:rPr>
              <w:t>2</w:t>
            </w:r>
          </w:p>
        </w:tc>
        <w:tc>
          <w:tcPr>
            <w:tcW w:w="610" w:type="pct"/>
            <w:shd w:val="clear" w:color="auto" w:fill="auto"/>
            <w:vAlign w:val="center"/>
          </w:tcPr>
          <w:p w14:paraId="5834914C">
            <w:pPr>
              <w:autoSpaceDE w:val="0"/>
              <w:autoSpaceDN w:val="0"/>
              <w:spacing w:line="360" w:lineRule="exact"/>
              <w:jc w:val="center"/>
              <w:rPr>
                <w:color w:val="000000"/>
                <w:kern w:val="0"/>
                <w:szCs w:val="22"/>
              </w:rPr>
            </w:pPr>
            <w:r>
              <w:rPr>
                <w:color w:val="000000"/>
                <w:kern w:val="0"/>
                <w:szCs w:val="22"/>
              </w:rPr>
              <w:t>≤400</w:t>
            </w:r>
          </w:p>
        </w:tc>
        <w:tc>
          <w:tcPr>
            <w:tcW w:w="658" w:type="pct"/>
            <w:shd w:val="clear" w:color="auto" w:fill="auto"/>
            <w:vAlign w:val="center"/>
          </w:tcPr>
          <w:p w14:paraId="73B701F9">
            <w:pPr>
              <w:autoSpaceDE w:val="0"/>
              <w:autoSpaceDN w:val="0"/>
              <w:spacing w:line="360" w:lineRule="exact"/>
              <w:jc w:val="center"/>
              <w:rPr>
                <w:color w:val="000000"/>
                <w:kern w:val="0"/>
                <w:szCs w:val="22"/>
              </w:rPr>
            </w:pPr>
            <w:r>
              <w:rPr>
                <w:color w:val="000000"/>
                <w:kern w:val="0"/>
                <w:szCs w:val="22"/>
              </w:rPr>
              <w:t>≤600</w:t>
            </w:r>
          </w:p>
        </w:tc>
        <w:tc>
          <w:tcPr>
            <w:tcW w:w="712" w:type="pct"/>
            <w:shd w:val="clear" w:color="auto" w:fill="auto"/>
            <w:vAlign w:val="center"/>
          </w:tcPr>
          <w:p w14:paraId="4ED3A6D7">
            <w:pPr>
              <w:autoSpaceDE w:val="0"/>
              <w:autoSpaceDN w:val="0"/>
              <w:spacing w:line="360" w:lineRule="exact"/>
              <w:jc w:val="center"/>
              <w:rPr>
                <w:color w:val="000000"/>
                <w:kern w:val="0"/>
                <w:szCs w:val="22"/>
              </w:rPr>
            </w:pPr>
            <w:r>
              <w:rPr>
                <w:color w:val="000000"/>
                <w:kern w:val="0"/>
                <w:szCs w:val="22"/>
              </w:rPr>
              <w:t>≤1000</w:t>
            </w:r>
          </w:p>
        </w:tc>
      </w:tr>
    </w:tbl>
    <w:p w14:paraId="22262574">
      <w:pPr>
        <w:keepNext/>
        <w:keepLines/>
        <w:spacing w:before="120" w:after="120"/>
        <w:outlineLvl w:val="0"/>
        <w:rPr>
          <w:b/>
          <w:bCs/>
          <w:kern w:val="44"/>
          <w:szCs w:val="44"/>
        </w:rPr>
      </w:pPr>
      <w:r>
        <w:rPr>
          <w:rFonts w:hint="eastAsia"/>
          <w:b/>
          <w:bCs/>
          <w:kern w:val="44"/>
          <w:szCs w:val="44"/>
        </w:rPr>
        <w:t>6 评价方法</w:t>
      </w:r>
    </w:p>
    <w:p w14:paraId="2C778618">
      <w:pPr>
        <w:keepNext/>
        <w:keepLines/>
        <w:spacing w:before="120" w:after="120"/>
        <w:outlineLvl w:val="0"/>
        <w:rPr>
          <w:b/>
          <w:bCs/>
          <w:kern w:val="44"/>
          <w:szCs w:val="44"/>
        </w:rPr>
      </w:pPr>
      <w:r>
        <w:rPr>
          <w:rFonts w:hint="eastAsia"/>
          <w:b/>
          <w:bCs/>
          <w:kern w:val="44"/>
          <w:szCs w:val="44"/>
        </w:rPr>
        <w:t>6.1 CO</w:t>
      </w:r>
      <w:r>
        <w:rPr>
          <w:rFonts w:hint="eastAsia"/>
          <w:b/>
          <w:bCs/>
          <w:kern w:val="44"/>
          <w:szCs w:val="44"/>
          <w:vertAlign w:val="subscript"/>
        </w:rPr>
        <w:t>2</w:t>
      </w:r>
      <w:r>
        <w:rPr>
          <w:rFonts w:hint="eastAsia"/>
          <w:b/>
          <w:bCs/>
          <w:kern w:val="44"/>
          <w:szCs w:val="44"/>
        </w:rPr>
        <w:t>捕集率</w:t>
      </w:r>
    </w:p>
    <w:p w14:paraId="00600DFB">
      <w:pPr>
        <w:spacing w:line="360" w:lineRule="auto"/>
        <w:rPr>
          <w:szCs w:val="21"/>
        </w:rPr>
      </w:pPr>
      <w:r>
        <w:rPr>
          <w:rFonts w:hint="eastAsia"/>
        </w:rPr>
        <w:t>CO</w:t>
      </w:r>
      <w:r>
        <w:rPr>
          <w:rFonts w:hint="eastAsia"/>
          <w:vertAlign w:val="subscript"/>
        </w:rPr>
        <w:t>2</w:t>
      </w:r>
      <w:r>
        <w:rPr>
          <w:szCs w:val="21"/>
        </w:rPr>
        <w:t>捕集率</w:t>
      </w:r>
      <w:r>
        <w:rPr>
          <w:rFonts w:hint="eastAsia"/>
          <w:szCs w:val="21"/>
        </w:rPr>
        <w:t>按（1）式计算：</w:t>
      </w:r>
    </w:p>
    <w:p w14:paraId="0004FFB3">
      <w:pPr>
        <w:spacing w:line="360" w:lineRule="auto"/>
        <w:jc w:val="center"/>
        <w:rPr>
          <w:rFonts w:hAnsi="Cambria Math"/>
          <w:szCs w:val="21"/>
        </w:rPr>
      </w:pPr>
      <w:r>
        <w:rPr>
          <w:rFonts w:hAnsi="Cambria Math"/>
          <w:position w:val="-32"/>
          <w:szCs w:val="21"/>
        </w:rPr>
        <w:object>
          <v:shape id="_x0000_i1025" o:spt="75" type="#_x0000_t75" style="height:37.2pt;width:94.8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hint="eastAsia" w:hAnsi="Cambria Math"/>
          <w:szCs w:val="21"/>
        </w:rPr>
        <w:t xml:space="preserve">   式（1）</w:t>
      </w:r>
    </w:p>
    <w:p w14:paraId="5AD21B44">
      <w:pPr>
        <w:spacing w:line="360" w:lineRule="auto"/>
        <w:rPr>
          <w:rFonts w:hAnsi="Cambria Math"/>
          <w:szCs w:val="21"/>
        </w:rPr>
      </w:pPr>
      <w:r>
        <w:rPr>
          <w:rFonts w:hint="eastAsia" w:hAnsi="Cambria Math"/>
          <w:szCs w:val="21"/>
        </w:rPr>
        <w:t>式中：</w:t>
      </w:r>
    </w:p>
    <w:p w14:paraId="496CF27B">
      <w:pPr>
        <w:spacing w:line="360" w:lineRule="auto"/>
        <w:rPr>
          <w:szCs w:val="21"/>
        </w:rPr>
      </w:pPr>
      <w:r>
        <w:rPr>
          <w:rFonts w:hAnsi="Cambria Math"/>
          <w:i/>
          <w:iCs/>
          <w:szCs w:val="21"/>
        </w:rPr>
        <w:t>P</w:t>
      </w:r>
      <w:r>
        <w:rPr>
          <w:rFonts w:hAnsi="Cambria Math"/>
          <w:i/>
          <w:iCs/>
          <w:szCs w:val="21"/>
          <w:vertAlign w:val="subscript"/>
        </w:rPr>
        <w:t>CO2</w:t>
      </w:r>
      <w:r>
        <w:rPr>
          <w:rFonts w:hint="eastAsia" w:hAnsi="Cambria Math"/>
          <w:szCs w:val="21"/>
        </w:rPr>
        <w:t>—报告期内</w:t>
      </w:r>
      <w:r>
        <w:rPr>
          <w:rFonts w:hint="eastAsia"/>
        </w:rPr>
        <w:t>CO</w:t>
      </w:r>
      <w:r>
        <w:rPr>
          <w:rFonts w:hint="eastAsia"/>
          <w:vertAlign w:val="subscript"/>
        </w:rPr>
        <w:t>2</w:t>
      </w:r>
      <w:r>
        <w:rPr>
          <w:szCs w:val="21"/>
        </w:rPr>
        <w:t>捕集率</w:t>
      </w:r>
      <w:r>
        <w:rPr>
          <w:rFonts w:hint="eastAsia"/>
          <w:szCs w:val="21"/>
        </w:rPr>
        <w:t>，单位为所占百分比（%）；</w:t>
      </w:r>
    </w:p>
    <w:p w14:paraId="739F36DE">
      <w:pPr>
        <w:spacing w:line="360" w:lineRule="auto"/>
        <w:rPr>
          <w:szCs w:val="21"/>
        </w:rPr>
      </w:pPr>
      <w:r>
        <w:rPr>
          <w:rFonts w:hint="eastAsia"/>
          <w:i/>
          <w:iCs/>
          <w:szCs w:val="21"/>
        </w:rPr>
        <w:t>C（ex）</w:t>
      </w:r>
      <w:r>
        <w:rPr>
          <w:rFonts w:hint="eastAsia" w:hAnsi="Cambria Math"/>
          <w:szCs w:val="21"/>
        </w:rPr>
        <w:t>—报告期内</w:t>
      </w:r>
      <w:r>
        <w:rPr>
          <w:szCs w:val="21"/>
        </w:rPr>
        <w:t>吸收塔尾气</w:t>
      </w:r>
      <w:r>
        <w:rPr>
          <w:rFonts w:hint="eastAsia"/>
        </w:rPr>
        <w:t>CO</w:t>
      </w:r>
      <w:r>
        <w:rPr>
          <w:rFonts w:hint="eastAsia"/>
          <w:vertAlign w:val="subscript"/>
        </w:rPr>
        <w:t>2</w:t>
      </w:r>
      <w:r>
        <w:rPr>
          <w:szCs w:val="21"/>
        </w:rPr>
        <w:t>浓度</w:t>
      </w:r>
      <w:r>
        <w:rPr>
          <w:rFonts w:hint="eastAsia"/>
          <w:szCs w:val="21"/>
        </w:rPr>
        <w:t>，单位为摩尔每升（mol/L）；</w:t>
      </w:r>
    </w:p>
    <w:p w14:paraId="3E08C8DA">
      <w:pPr>
        <w:spacing w:line="360" w:lineRule="auto"/>
        <w:rPr>
          <w:szCs w:val="21"/>
        </w:rPr>
      </w:pPr>
      <w:r>
        <w:rPr>
          <w:rFonts w:hint="eastAsia"/>
          <w:i/>
          <w:iCs/>
          <w:szCs w:val="21"/>
        </w:rPr>
        <w:t>C（in）</w:t>
      </w:r>
      <w:r>
        <w:rPr>
          <w:rFonts w:hint="eastAsia" w:hAnsi="Cambria Math"/>
          <w:szCs w:val="21"/>
        </w:rPr>
        <w:t>—报告期内</w:t>
      </w:r>
      <w:r>
        <w:rPr>
          <w:szCs w:val="21"/>
        </w:rPr>
        <w:t>收塔进气CO</w:t>
      </w:r>
      <w:r>
        <w:rPr>
          <w:szCs w:val="21"/>
          <w:vertAlign w:val="subscript"/>
        </w:rPr>
        <w:t>2</w:t>
      </w:r>
      <w:r>
        <w:rPr>
          <w:szCs w:val="21"/>
        </w:rPr>
        <w:t>浓度</w:t>
      </w:r>
      <w:r>
        <w:rPr>
          <w:rFonts w:hint="eastAsia"/>
          <w:szCs w:val="21"/>
        </w:rPr>
        <w:t>，单位为摩尔每升（mol/L）；</w:t>
      </w:r>
    </w:p>
    <w:p w14:paraId="720E23BE">
      <w:pPr>
        <w:spacing w:line="360" w:lineRule="auto"/>
        <w:rPr>
          <w:szCs w:val="21"/>
        </w:rPr>
      </w:pPr>
      <w:r>
        <w:rPr>
          <w:i/>
          <w:iCs/>
          <w:szCs w:val="21"/>
        </w:rPr>
        <w:t>V</w:t>
      </w:r>
      <w:r>
        <w:rPr>
          <w:rFonts w:hint="eastAsia"/>
          <w:i/>
          <w:iCs/>
          <w:szCs w:val="21"/>
        </w:rPr>
        <w:t>（ex）</w:t>
      </w:r>
      <w:r>
        <w:rPr>
          <w:rFonts w:hint="eastAsia" w:hAnsi="Cambria Math"/>
          <w:szCs w:val="21"/>
        </w:rPr>
        <w:t>—报告期内</w:t>
      </w:r>
      <w:r>
        <w:rPr>
          <w:szCs w:val="21"/>
        </w:rPr>
        <w:t>吸收塔尾气</w:t>
      </w:r>
      <w:r>
        <w:rPr>
          <w:rFonts w:hint="eastAsia"/>
        </w:rPr>
        <w:t>体积</w:t>
      </w:r>
      <w:r>
        <w:rPr>
          <w:rFonts w:hint="eastAsia"/>
          <w:szCs w:val="21"/>
        </w:rPr>
        <w:t>，单位为升（L）；</w:t>
      </w:r>
    </w:p>
    <w:p w14:paraId="237E13FB">
      <w:pPr>
        <w:spacing w:line="360" w:lineRule="auto"/>
        <w:rPr>
          <w:szCs w:val="21"/>
        </w:rPr>
      </w:pPr>
      <w:r>
        <w:rPr>
          <w:i/>
          <w:iCs/>
          <w:szCs w:val="21"/>
        </w:rPr>
        <w:t>V</w:t>
      </w:r>
      <w:r>
        <w:rPr>
          <w:rFonts w:hint="eastAsia"/>
          <w:i/>
          <w:iCs/>
          <w:szCs w:val="21"/>
        </w:rPr>
        <w:t>（in）</w:t>
      </w:r>
      <w:r>
        <w:rPr>
          <w:rFonts w:hint="eastAsia" w:hAnsi="Cambria Math"/>
          <w:szCs w:val="21"/>
        </w:rPr>
        <w:t>—报告期内</w:t>
      </w:r>
      <w:r>
        <w:rPr>
          <w:szCs w:val="21"/>
        </w:rPr>
        <w:t>收塔进气</w:t>
      </w:r>
      <w:r>
        <w:rPr>
          <w:rFonts w:hint="eastAsia"/>
          <w:szCs w:val="21"/>
        </w:rPr>
        <w:t>体积，单位为升（L）。</w:t>
      </w:r>
    </w:p>
    <w:p w14:paraId="36D143A6">
      <w:pPr>
        <w:keepNext/>
        <w:keepLines/>
        <w:spacing w:before="120" w:after="120"/>
        <w:outlineLvl w:val="0"/>
        <w:rPr>
          <w:b/>
          <w:bCs/>
          <w:kern w:val="44"/>
          <w:szCs w:val="44"/>
        </w:rPr>
      </w:pPr>
      <w:r>
        <w:rPr>
          <w:rFonts w:hint="eastAsia"/>
          <w:b/>
          <w:bCs/>
          <w:kern w:val="44"/>
          <w:szCs w:val="44"/>
        </w:rPr>
        <w:t>6.</w:t>
      </w:r>
      <w:r>
        <w:rPr>
          <w:b/>
          <w:bCs/>
          <w:kern w:val="44"/>
          <w:szCs w:val="44"/>
        </w:rPr>
        <w:t>2</w:t>
      </w:r>
      <w:r>
        <w:rPr>
          <w:rFonts w:hint="eastAsia"/>
          <w:b/>
          <w:bCs/>
          <w:kern w:val="44"/>
          <w:szCs w:val="44"/>
        </w:rPr>
        <w:t xml:space="preserve"> C</w:t>
      </w:r>
      <w:r>
        <w:rPr>
          <w:b/>
          <w:bCs/>
          <w:kern w:val="44"/>
          <w:szCs w:val="44"/>
        </w:rPr>
        <w:t>O</w:t>
      </w:r>
      <w:r>
        <w:rPr>
          <w:b/>
          <w:bCs/>
          <w:kern w:val="44"/>
          <w:szCs w:val="44"/>
          <w:vertAlign w:val="subscript"/>
        </w:rPr>
        <w:t>2</w:t>
      </w:r>
      <w:r>
        <w:rPr>
          <w:rFonts w:hint="eastAsia"/>
          <w:b/>
          <w:bCs/>
          <w:kern w:val="44"/>
          <w:szCs w:val="44"/>
        </w:rPr>
        <w:t>捕集能耗</w:t>
      </w:r>
    </w:p>
    <w:p w14:paraId="151D0B61">
      <w:pPr>
        <w:spacing w:line="360" w:lineRule="auto"/>
        <w:rPr>
          <w:szCs w:val="21"/>
        </w:rPr>
      </w:pPr>
      <w:r>
        <w:rPr>
          <w:rFonts w:hint="eastAsia"/>
          <w:szCs w:val="21"/>
        </w:rPr>
        <w:t>吸收法或吸附法C</w:t>
      </w:r>
      <w:r>
        <w:rPr>
          <w:szCs w:val="21"/>
        </w:rPr>
        <w:t>O</w:t>
      </w:r>
      <w:r>
        <w:rPr>
          <w:szCs w:val="21"/>
          <w:vertAlign w:val="subscript"/>
        </w:rPr>
        <w:t>2</w:t>
      </w:r>
      <w:r>
        <w:rPr>
          <w:rFonts w:hint="eastAsia"/>
          <w:szCs w:val="21"/>
        </w:rPr>
        <w:t>捕集</w:t>
      </w:r>
      <w:r>
        <w:rPr>
          <w:szCs w:val="21"/>
        </w:rPr>
        <w:t>能耗</w:t>
      </w:r>
      <w:r>
        <w:rPr>
          <w:rFonts w:hint="eastAsia"/>
          <w:szCs w:val="21"/>
        </w:rPr>
        <w:t>按（2）（3）式计算：</w:t>
      </w:r>
    </w:p>
    <w:p w14:paraId="164A3413">
      <w:pPr>
        <w:spacing w:line="360" w:lineRule="auto"/>
        <w:jc w:val="center"/>
        <w:rPr>
          <w:rFonts w:hAnsi="Cambria Math"/>
          <w:szCs w:val="21"/>
        </w:rPr>
      </w:pPr>
      <w:r>
        <w:rPr>
          <w:rFonts w:hAnsi="Cambria Math"/>
          <w:position w:val="-30"/>
          <w:szCs w:val="21"/>
        </w:rPr>
        <w:object>
          <v:shape id="_x0000_i1026" o:spt="75" type="#_x0000_t75" style="height:34.2pt;width:91.8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hint="eastAsia" w:hAnsi="Cambria Math"/>
          <w:szCs w:val="21"/>
        </w:rPr>
        <w:t xml:space="preserve">   式（2）</w:t>
      </w:r>
    </w:p>
    <w:p w14:paraId="37BC7A58">
      <w:pPr>
        <w:spacing w:line="360" w:lineRule="auto"/>
        <w:jc w:val="center"/>
        <w:rPr>
          <w:rFonts w:hAnsi="Cambria Math"/>
          <w:szCs w:val="21"/>
        </w:rPr>
      </w:pPr>
      <w:r>
        <w:rPr>
          <w:rFonts w:hAnsi="Cambria Math"/>
          <w:position w:val="-30"/>
          <w:szCs w:val="21"/>
        </w:rPr>
        <w:object>
          <v:shape id="_x0000_i1027" o:spt="75" type="#_x0000_t75" style="height:34.2pt;width:70.2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hint="eastAsia" w:hAnsi="Cambria Math"/>
          <w:szCs w:val="21"/>
        </w:rPr>
        <w:t xml:space="preserve">   式（3）</w:t>
      </w:r>
    </w:p>
    <w:p w14:paraId="54AE59B5">
      <w:pPr>
        <w:spacing w:line="360" w:lineRule="auto"/>
        <w:rPr>
          <w:szCs w:val="21"/>
        </w:rPr>
      </w:pPr>
      <w:r>
        <w:rPr>
          <w:szCs w:val="21"/>
        </w:rPr>
        <w:t>式中：</w:t>
      </w:r>
    </w:p>
    <w:p w14:paraId="3FB4697E">
      <w:pPr>
        <w:spacing w:line="360" w:lineRule="auto"/>
        <w:rPr>
          <w:szCs w:val="21"/>
        </w:rPr>
      </w:pPr>
      <w:r>
        <w:rPr>
          <w:rFonts w:hint="eastAsia"/>
          <w:i/>
          <w:iCs/>
          <w:szCs w:val="21"/>
        </w:rPr>
        <w:t>E</w:t>
      </w:r>
      <w:r>
        <w:rPr>
          <w:i/>
          <w:iCs/>
          <w:szCs w:val="21"/>
          <w:vertAlign w:val="subscript"/>
        </w:rPr>
        <w:t>Z</w:t>
      </w:r>
      <w:r>
        <w:rPr>
          <w:szCs w:val="21"/>
        </w:rPr>
        <w:t>─</w:t>
      </w:r>
      <w:r>
        <w:rPr>
          <w:rFonts w:hint="eastAsia"/>
          <w:szCs w:val="21"/>
        </w:rPr>
        <w:t>每吨 CO</w:t>
      </w:r>
      <w:r>
        <w:rPr>
          <w:rFonts w:hint="eastAsia"/>
          <w:szCs w:val="21"/>
          <w:vertAlign w:val="subscript"/>
        </w:rPr>
        <w:t>2</w:t>
      </w:r>
      <w:r>
        <w:rPr>
          <w:rFonts w:hint="eastAsia"/>
          <w:szCs w:val="21"/>
        </w:rPr>
        <w:t>捕集能耗，单位为吉焦每吨(GJ/t);</w:t>
      </w:r>
    </w:p>
    <w:p w14:paraId="073FE077">
      <w:pPr>
        <w:spacing w:line="360" w:lineRule="auto"/>
        <w:rPr>
          <w:szCs w:val="21"/>
        </w:rPr>
      </w:pPr>
      <w:r>
        <w:rPr>
          <w:rFonts w:hint="eastAsia"/>
          <w:i/>
          <w:iCs/>
          <w:szCs w:val="21"/>
        </w:rPr>
        <w:t>E</w:t>
      </w:r>
      <w:r>
        <w:rPr>
          <w:i/>
          <w:iCs/>
          <w:szCs w:val="21"/>
          <w:vertAlign w:val="subscript"/>
        </w:rPr>
        <w:t>r</w:t>
      </w:r>
      <w:r>
        <w:rPr>
          <w:szCs w:val="21"/>
        </w:rPr>
        <w:t>─</w:t>
      </w:r>
      <w:r>
        <w:rPr>
          <w:rFonts w:hint="eastAsia"/>
          <w:szCs w:val="21"/>
        </w:rPr>
        <w:t>每吨 CO</w:t>
      </w:r>
      <w:r>
        <w:rPr>
          <w:szCs w:val="21"/>
        </w:rPr>
        <w:t>2</w:t>
      </w:r>
      <w:r>
        <w:rPr>
          <w:rFonts w:hint="eastAsia"/>
          <w:szCs w:val="21"/>
        </w:rPr>
        <w:t>再生能耗，单位为吉焦每吨(GJt);</w:t>
      </w:r>
    </w:p>
    <w:p w14:paraId="3892F8F7">
      <w:pPr>
        <w:spacing w:line="360" w:lineRule="auto"/>
        <w:rPr>
          <w:szCs w:val="21"/>
        </w:rPr>
      </w:pPr>
      <w:r>
        <w:rPr>
          <w:rFonts w:hint="eastAsia"/>
          <w:i/>
          <w:iCs/>
          <w:szCs w:val="21"/>
        </w:rPr>
        <w:t>E</w:t>
      </w:r>
      <w:r>
        <w:rPr>
          <w:i/>
          <w:iCs/>
          <w:szCs w:val="21"/>
          <w:vertAlign w:val="subscript"/>
        </w:rPr>
        <w:t>e</w:t>
      </w:r>
      <w:r>
        <w:rPr>
          <w:szCs w:val="21"/>
        </w:rPr>
        <w:t>─</w:t>
      </w:r>
      <w:r>
        <w:rPr>
          <w:rFonts w:hint="eastAsia"/>
          <w:szCs w:val="21"/>
        </w:rPr>
        <w:t>每小时捕集装置运行所需要的电能，单位为吉焦每小时(GJ</w:t>
      </w:r>
      <w:r>
        <w:rPr>
          <w:szCs w:val="21"/>
        </w:rPr>
        <w:t>/</w:t>
      </w:r>
      <w:r>
        <w:rPr>
          <w:rFonts w:hint="eastAsia"/>
          <w:szCs w:val="21"/>
        </w:rPr>
        <w:t>h)，用电设备分别计算并加和得到的电功率，采用 GB/T 50441进行能耗折算:</w:t>
      </w:r>
    </w:p>
    <w:p w14:paraId="7965FD5C">
      <w:pPr>
        <w:spacing w:line="360" w:lineRule="auto"/>
        <w:rPr>
          <w:szCs w:val="21"/>
        </w:rPr>
      </w:pPr>
      <w:r>
        <w:rPr>
          <w:rFonts w:hint="eastAsia"/>
          <w:i/>
          <w:iCs/>
          <w:szCs w:val="21"/>
        </w:rPr>
        <w:t>E</w:t>
      </w:r>
      <w:r>
        <w:rPr>
          <w:i/>
          <w:iCs/>
          <w:szCs w:val="21"/>
          <w:vertAlign w:val="subscript"/>
        </w:rPr>
        <w:t>w</w:t>
      </w:r>
      <w:r>
        <w:rPr>
          <w:szCs w:val="21"/>
        </w:rPr>
        <w:t>─</w:t>
      </w:r>
      <w:r>
        <w:rPr>
          <w:rFonts w:hint="eastAsia"/>
          <w:szCs w:val="21"/>
        </w:rPr>
        <w:t>每小时捕集装置运行所需要的水耗，单位为吉焦每小时(GJ</w:t>
      </w:r>
      <w:r>
        <w:rPr>
          <w:szCs w:val="21"/>
        </w:rPr>
        <w:t>/</w:t>
      </w:r>
      <w:r>
        <w:rPr>
          <w:rFonts w:hint="eastAsia"/>
          <w:szCs w:val="21"/>
        </w:rPr>
        <w:t>h)，需根据循环水量采用GB/T 50441进行能耗折算;</w:t>
      </w:r>
    </w:p>
    <w:p w14:paraId="58B5A643">
      <w:pPr>
        <w:spacing w:line="360" w:lineRule="auto"/>
        <w:rPr>
          <w:szCs w:val="21"/>
        </w:rPr>
      </w:pPr>
      <w:r>
        <w:rPr>
          <w:rFonts w:hint="eastAsia"/>
          <w:i/>
          <w:iCs/>
          <w:szCs w:val="21"/>
        </w:rPr>
        <w:t>Q</w:t>
      </w:r>
      <w:r>
        <w:rPr>
          <w:rFonts w:hint="eastAsia"/>
          <w:i/>
          <w:iCs/>
          <w:szCs w:val="21"/>
          <w:vertAlign w:val="subscript"/>
        </w:rPr>
        <w:t>m</w:t>
      </w:r>
      <w:r>
        <w:rPr>
          <w:szCs w:val="21"/>
        </w:rPr>
        <w:t>─</w:t>
      </w:r>
      <w:r>
        <w:rPr>
          <w:rFonts w:hint="eastAsia"/>
          <w:szCs w:val="21"/>
        </w:rPr>
        <w:t>每小时的蒸汽或电的热值，单位为吉焦每小时(GJ/h);</w:t>
      </w:r>
    </w:p>
    <w:p w14:paraId="4BB82B49">
      <w:pPr>
        <w:spacing w:line="360" w:lineRule="auto"/>
        <w:rPr>
          <w:szCs w:val="21"/>
        </w:rPr>
      </w:pPr>
      <w:r>
        <w:rPr>
          <w:rFonts w:hint="eastAsia"/>
          <w:i/>
          <w:iCs/>
          <w:szCs w:val="21"/>
        </w:rPr>
        <w:t>H</w:t>
      </w:r>
      <w:r>
        <w:rPr>
          <w:i/>
          <w:iCs/>
          <w:szCs w:val="21"/>
          <w:vertAlign w:val="subscript"/>
        </w:rPr>
        <w:t>ν</w:t>
      </w:r>
      <w:r>
        <w:rPr>
          <w:szCs w:val="21"/>
        </w:rPr>
        <w:t>─</w:t>
      </w:r>
      <w:r>
        <w:rPr>
          <w:rFonts w:hint="eastAsia"/>
          <w:szCs w:val="21"/>
        </w:rPr>
        <w:t>蒸汽在实际工况下的潜热值(由蒸汽焓值减去凝结水焓值得到，一定温度、压力下的焓值可查询化工数据手册)，单位为吉焦每吨(GJt);</w:t>
      </w:r>
    </w:p>
    <w:p w14:paraId="73616C47">
      <w:pPr>
        <w:spacing w:line="360" w:lineRule="auto"/>
        <w:rPr>
          <w:szCs w:val="21"/>
        </w:rPr>
      </w:pPr>
      <w:r>
        <w:rPr>
          <w:i/>
          <w:iCs/>
          <w:szCs w:val="21"/>
        </w:rPr>
        <w:t>m</w:t>
      </w:r>
      <w:r>
        <w:rPr>
          <w:i/>
          <w:iCs/>
          <w:szCs w:val="21"/>
          <w:vertAlign w:val="subscript"/>
        </w:rPr>
        <w:t>co2</w:t>
      </w:r>
      <w:r>
        <w:rPr>
          <w:szCs w:val="21"/>
        </w:rPr>
        <w:t>─</w:t>
      </w:r>
      <w:r>
        <w:rPr>
          <w:rFonts w:hint="eastAsia"/>
          <w:szCs w:val="21"/>
        </w:rPr>
        <w:t>每小时</w:t>
      </w:r>
      <w:r>
        <w:rPr>
          <w:szCs w:val="21"/>
        </w:rPr>
        <w:t xml:space="preserve"> CO₂</w:t>
      </w:r>
      <w:r>
        <w:rPr>
          <w:rFonts w:hint="eastAsia"/>
          <w:szCs w:val="21"/>
        </w:rPr>
        <w:t>产量，单位为吨每小时</w:t>
      </w:r>
      <w:r>
        <w:rPr>
          <w:szCs w:val="21"/>
        </w:rPr>
        <w:t>(t/h)</w:t>
      </w:r>
      <w:r>
        <w:rPr>
          <w:rFonts w:hint="eastAsia"/>
          <w:szCs w:val="21"/>
        </w:rPr>
        <w:t>。</w:t>
      </w:r>
    </w:p>
    <w:p w14:paraId="7B83DB0C">
      <w:pPr>
        <w:spacing w:line="360" w:lineRule="auto"/>
        <w:rPr>
          <w:szCs w:val="21"/>
        </w:rPr>
      </w:pPr>
      <w:r>
        <w:rPr>
          <w:rFonts w:hint="eastAsia"/>
          <w:szCs w:val="21"/>
        </w:rPr>
        <w:t>能耗应按一次能源消耗计算,能耗单位宜采千克(kg)标准油,1千克标准油的低发热量为41.868</w:t>
      </w:r>
      <w:r>
        <w:rPr>
          <w:szCs w:val="21"/>
        </w:rPr>
        <w:t xml:space="preserve"> </w:t>
      </w:r>
      <w:r>
        <w:rPr>
          <w:rFonts w:hint="eastAsia"/>
          <w:szCs w:val="21"/>
        </w:rPr>
        <w:t>M</w:t>
      </w:r>
      <w:r>
        <w:rPr>
          <w:szCs w:val="21"/>
        </w:rPr>
        <w:t>J</w:t>
      </w:r>
    </w:p>
    <w:p w14:paraId="264A4F18">
      <w:pPr>
        <w:keepNext/>
        <w:keepLines/>
        <w:spacing w:before="120" w:after="120"/>
        <w:outlineLvl w:val="0"/>
        <w:rPr>
          <w:rFonts w:hint="eastAsia"/>
          <w:b/>
          <w:bCs/>
          <w:kern w:val="44"/>
          <w:szCs w:val="44"/>
        </w:rPr>
      </w:pPr>
      <w:r>
        <w:rPr>
          <w:rFonts w:hint="eastAsia"/>
          <w:b/>
          <w:bCs/>
          <w:kern w:val="44"/>
          <w:szCs w:val="44"/>
        </w:rPr>
        <w:t>6.</w:t>
      </w:r>
      <w:r>
        <w:rPr>
          <w:b/>
          <w:bCs/>
          <w:kern w:val="44"/>
          <w:szCs w:val="44"/>
        </w:rPr>
        <w:t>3</w:t>
      </w:r>
      <w:r>
        <w:rPr>
          <w:rFonts w:hint="eastAsia"/>
          <w:b/>
          <w:bCs/>
          <w:kern w:val="44"/>
          <w:szCs w:val="44"/>
        </w:rPr>
        <w:t xml:space="preserve"> 捕集运行成本</w:t>
      </w:r>
    </w:p>
    <w:p w14:paraId="35E8E69D">
      <w:r>
        <w:rPr>
          <w:rFonts w:hint="eastAsia"/>
        </w:rPr>
        <w:t>每吨CO</w:t>
      </w:r>
      <w:r>
        <w:rPr>
          <w:rFonts w:hint="eastAsia"/>
          <w:vertAlign w:val="subscript"/>
        </w:rPr>
        <w:t>2</w:t>
      </w:r>
      <w:r>
        <w:rPr>
          <w:rFonts w:hint="eastAsia"/>
        </w:rPr>
        <w:t>捕集运行成本</w:t>
      </w:r>
    </w:p>
    <w:p w14:paraId="4B38EDB6">
      <w:pPr>
        <w:pStyle w:val="252"/>
      </w:pPr>
      <w:r>
        <w:tab/>
      </w:r>
      <w:r>
        <w:rPr>
          <w:position w:val="-30"/>
        </w:rPr>
        <w:object>
          <v:shape id="_x0000_i1028" o:spt="75" type="#_x0000_t75" style="height:34.2pt;width:112.8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p>
    <w:p w14:paraId="7592ADB8">
      <w:pPr>
        <w:spacing w:line="360" w:lineRule="auto"/>
      </w:pPr>
      <w:r>
        <w:rPr>
          <w:rFonts w:ascii="Cambria Math" w:hAnsi="Cambria Math" w:cs="Cambria Math"/>
        </w:rPr>
        <w:t>K</w:t>
      </w:r>
      <w:r>
        <w:rPr>
          <w:szCs w:val="21"/>
        </w:rPr>
        <w:t>─</w:t>
      </w:r>
      <w:r>
        <w:rPr>
          <w:rFonts w:ascii="Cambria Math" w:hAnsi="Cambria Math" w:cs="Cambria Math"/>
        </w:rPr>
        <w:t>-</w:t>
      </w:r>
      <w:r>
        <w:t>报告期内运行成本，单位为元每吨二氧化碳（元/吨CO</w:t>
      </w:r>
      <w:r>
        <w:rPr>
          <w:vertAlign w:val="subscript"/>
        </w:rPr>
        <w:t>2</w:t>
      </w:r>
      <w:r>
        <w:t>）；</w:t>
      </w:r>
    </w:p>
    <w:p w14:paraId="171F647B">
      <w:pPr>
        <w:spacing w:line="360" w:lineRule="auto"/>
      </w:pPr>
      <w:bookmarkStart w:id="28" w:name="_Hlk182485278"/>
      <w:r>
        <w:rPr>
          <w:rFonts w:ascii="Cambria Math" w:hAnsi="Cambria Math" w:cs="Cambria Math"/>
          <w:i/>
          <w:iCs/>
        </w:rPr>
        <w:t>E</w:t>
      </w:r>
      <w:r>
        <w:rPr>
          <w:rFonts w:hint="eastAsia" w:ascii="Cambria Math" w:hAnsi="Cambria Math" w:cs="Cambria Math"/>
          <w:i/>
          <w:iCs/>
          <w:vertAlign w:val="subscript"/>
        </w:rPr>
        <w:t>e</w:t>
      </w:r>
      <w:r>
        <w:rPr>
          <w:szCs w:val="21"/>
        </w:rPr>
        <w:t>─</w:t>
      </w:r>
      <w:bookmarkEnd w:id="28"/>
      <w:r>
        <w:t>报告期内电能耗折算的成本，单位为元；</w:t>
      </w:r>
    </w:p>
    <w:p w14:paraId="2A5E873F">
      <w:pPr>
        <w:spacing w:line="360" w:lineRule="auto"/>
      </w:pPr>
      <w:r>
        <w:rPr>
          <w:rFonts w:ascii="Cambria Math" w:hAnsi="Cambria Math" w:cs="Cambria Math"/>
          <w:i/>
          <w:iCs/>
        </w:rPr>
        <w:t>E</w:t>
      </w:r>
      <w:r>
        <w:rPr>
          <w:rFonts w:ascii="Cambria Math" w:hAnsi="Cambria Math" w:cs="Cambria Math"/>
          <w:i/>
          <w:iCs/>
          <w:vertAlign w:val="subscript"/>
        </w:rPr>
        <w:t>s</w:t>
      </w:r>
      <w:r>
        <w:rPr>
          <w:szCs w:val="21"/>
        </w:rPr>
        <w:t>─</w:t>
      </w:r>
      <w:r>
        <w:t>报告期内蒸汽消耗，单位为元；</w:t>
      </w:r>
    </w:p>
    <w:p w14:paraId="07773715">
      <w:pPr>
        <w:spacing w:line="360" w:lineRule="auto"/>
      </w:pPr>
      <w:r>
        <w:rPr>
          <w:rFonts w:ascii="Cambria Math" w:hAnsi="Cambria Math" w:cs="Cambria Math"/>
          <w:i/>
          <w:iCs/>
        </w:rPr>
        <w:t>E</w:t>
      </w:r>
      <w:r>
        <w:rPr>
          <w:rFonts w:ascii="Cambria Math" w:hAnsi="Cambria Math" w:cs="Cambria Math"/>
          <w:i/>
          <w:iCs/>
          <w:vertAlign w:val="subscript"/>
        </w:rPr>
        <w:t>W</w:t>
      </w:r>
      <w:r>
        <w:rPr>
          <w:szCs w:val="21"/>
        </w:rPr>
        <w:t>─</w:t>
      </w:r>
      <w:r>
        <w:t>报告期内水能耗，单位为元；</w:t>
      </w:r>
    </w:p>
    <w:p w14:paraId="0388E724">
      <w:pPr>
        <w:spacing w:line="360" w:lineRule="auto"/>
      </w:pPr>
      <w:r>
        <w:rPr>
          <w:rFonts w:ascii="Cambria Math" w:hAnsi="Cambria Math" w:cs="Cambria Math"/>
          <w:i/>
          <w:iCs/>
        </w:rPr>
        <w:t>E</w:t>
      </w:r>
      <w:r>
        <w:rPr>
          <w:rFonts w:ascii="Cambria Math" w:hAnsi="Cambria Math" w:cs="Cambria Math"/>
          <w:i/>
          <w:iCs/>
          <w:vertAlign w:val="subscript"/>
        </w:rPr>
        <w:t>T</w:t>
      </w:r>
      <w:r>
        <w:rPr>
          <w:szCs w:val="21"/>
        </w:rPr>
        <w:t>─</w:t>
      </w:r>
      <w:r>
        <w:t>报告期内材料消耗，单位为元；</w:t>
      </w:r>
    </w:p>
    <w:p w14:paraId="3296DB2C">
      <w:pPr>
        <w:spacing w:line="360" w:lineRule="auto"/>
      </w:pPr>
      <w:r>
        <w:rPr>
          <w:rFonts w:ascii="Cambria Math" w:hAnsi="Cambria Math" w:cs="Cambria Math"/>
          <w:i/>
          <w:iCs/>
        </w:rPr>
        <w:t>T</w:t>
      </w:r>
      <w:r>
        <w:rPr>
          <w:rFonts w:hint="eastAsia" w:ascii="Cambria Math" w:hAnsi="Cambria Math" w:cs="Cambria Math"/>
          <w:i/>
          <w:iCs/>
          <w:vertAlign w:val="subscript"/>
        </w:rPr>
        <w:t>p</w:t>
      </w:r>
      <w:r>
        <w:rPr>
          <w:szCs w:val="21"/>
        </w:rPr>
        <w:t>─</w:t>
      </w:r>
      <w:r>
        <w:t>：报告期内CO</w:t>
      </w:r>
      <w:r>
        <w:rPr>
          <w:vertAlign w:val="subscript"/>
        </w:rPr>
        <w:t>2</w:t>
      </w:r>
      <w:r>
        <w:t>产出量，单位为吨二氧化碳当量（tCO</w:t>
      </w:r>
      <w:r>
        <w:rPr>
          <w:vertAlign w:val="subscript"/>
        </w:rPr>
        <w:t>2</w:t>
      </w:r>
      <w:r>
        <w:t>e）。</w:t>
      </w:r>
    </w:p>
    <w:p w14:paraId="4747FB47">
      <w:pPr>
        <w:spacing w:line="360" w:lineRule="auto"/>
        <w:rPr>
          <w:rFonts w:hint="eastAsia"/>
        </w:rPr>
      </w:pPr>
    </w:p>
    <w:bookmarkEnd w:id="27"/>
    <w:p w14:paraId="40DD5082">
      <w:pPr>
        <w:widowControl/>
        <w:numPr>
          <w:ilvl w:val="0"/>
          <w:numId w:val="31"/>
        </w:numPr>
        <w:autoSpaceDE w:val="0"/>
        <w:autoSpaceDN w:val="0"/>
        <w:spacing w:line="360" w:lineRule="exact"/>
        <w:ind w:left="420" w:leftChars="200" w:firstLine="0"/>
        <w:rPr>
          <w:color w:val="000000"/>
          <w:kern w:val="0"/>
          <w:szCs w:val="22"/>
        </w:rPr>
        <w:sectPr>
          <w:footerReference r:id="rId3" w:type="default"/>
          <w:footerReference r:id="rId4" w:type="even"/>
          <w:pgSz w:w="11907" w:h="16839"/>
          <w:pgMar w:top="1418" w:right="1134" w:bottom="1134" w:left="1418" w:header="0" w:footer="0" w:gutter="0"/>
          <w:pgNumType w:fmt="decimalFullWidth"/>
          <w:cols w:space="720" w:num="1"/>
          <w:docGrid w:linePitch="312" w:charSpace="0"/>
        </w:sectPr>
      </w:pPr>
    </w:p>
    <w:p w14:paraId="13A8C5E0">
      <w:pPr>
        <w:spacing w:before="120" w:after="120"/>
        <w:jc w:val="center"/>
        <w:outlineLvl w:val="0"/>
        <w:rPr>
          <w:rFonts w:ascii="Arial" w:hAnsi="Arial" w:eastAsia="黑体" w:cs="Arial"/>
          <w:b/>
          <w:bCs/>
          <w:szCs w:val="32"/>
        </w:rPr>
      </w:pPr>
      <w:r>
        <w:rPr>
          <w:rFonts w:hint="eastAsia" w:ascii="Arial" w:hAnsi="Arial" w:eastAsia="黑体" w:cs="Arial"/>
          <w:b/>
          <w:bCs/>
          <w:szCs w:val="32"/>
        </w:rPr>
        <w:t xml:space="preserve">附录A  </w:t>
      </w:r>
    </w:p>
    <w:p w14:paraId="4FC034C1">
      <w:pPr>
        <w:jc w:val="center"/>
        <w:rPr>
          <w:rFonts w:hint="eastAsia"/>
        </w:rPr>
      </w:pPr>
    </w:p>
    <w:p w14:paraId="003BA109">
      <w:pPr>
        <w:jc w:val="center"/>
      </w:pPr>
      <w:r>
        <w:rPr>
          <w:rFonts w:hint="eastAsia"/>
        </w:rPr>
        <w:t>表</w:t>
      </w:r>
      <w:r>
        <w:t>A</w:t>
      </w:r>
      <w:r>
        <w:rPr>
          <w:rFonts w:hint="eastAsia"/>
        </w:rPr>
        <w:t>.</w:t>
      </w:r>
      <w:r>
        <w:t xml:space="preserve">1 </w:t>
      </w:r>
      <w:r>
        <w:rPr>
          <w:rFonts w:hint="eastAsia"/>
        </w:rPr>
        <w:t>电、水及耗能工质的统一能源折算值</w:t>
      </w:r>
    </w:p>
    <w:tbl>
      <w:tblPr>
        <w:tblStyle w:val="5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04"/>
        <w:gridCol w:w="1704"/>
        <w:gridCol w:w="1704"/>
        <w:gridCol w:w="1705"/>
        <w:gridCol w:w="1705"/>
      </w:tblGrid>
      <w:tr w14:paraId="7C2B10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04" w:type="dxa"/>
          </w:tcPr>
          <w:p w14:paraId="7DE05062">
            <w:pPr>
              <w:jc w:val="center"/>
              <w:rPr>
                <w:rFonts w:hint="eastAsia" w:ascii="宋体"/>
                <w:sz w:val="21"/>
                <w:szCs w:val="21"/>
              </w:rPr>
            </w:pPr>
            <w:r>
              <w:rPr>
                <w:rFonts w:hint="eastAsia" w:ascii="宋体"/>
                <w:sz w:val="21"/>
                <w:szCs w:val="21"/>
              </w:rPr>
              <w:t>序号</w:t>
            </w:r>
          </w:p>
        </w:tc>
        <w:tc>
          <w:tcPr>
            <w:tcW w:w="1704" w:type="dxa"/>
          </w:tcPr>
          <w:p w14:paraId="2178CC18">
            <w:pPr>
              <w:jc w:val="center"/>
              <w:rPr>
                <w:rFonts w:hint="eastAsia" w:ascii="宋体"/>
                <w:sz w:val="21"/>
                <w:szCs w:val="21"/>
              </w:rPr>
            </w:pPr>
            <w:r>
              <w:rPr>
                <w:rFonts w:hint="eastAsia" w:ascii="宋体"/>
                <w:sz w:val="21"/>
                <w:szCs w:val="21"/>
              </w:rPr>
              <w:t>类型</w:t>
            </w:r>
          </w:p>
        </w:tc>
        <w:tc>
          <w:tcPr>
            <w:tcW w:w="1704" w:type="dxa"/>
          </w:tcPr>
          <w:p w14:paraId="323A7E60">
            <w:pPr>
              <w:jc w:val="center"/>
              <w:rPr>
                <w:rFonts w:hint="eastAsia" w:ascii="宋体"/>
                <w:sz w:val="21"/>
                <w:szCs w:val="21"/>
              </w:rPr>
            </w:pPr>
            <w:r>
              <w:rPr>
                <w:rFonts w:hint="eastAsia" w:ascii="宋体"/>
                <w:sz w:val="21"/>
                <w:szCs w:val="21"/>
              </w:rPr>
              <w:t>单位</w:t>
            </w:r>
          </w:p>
        </w:tc>
        <w:tc>
          <w:tcPr>
            <w:tcW w:w="1705" w:type="dxa"/>
          </w:tcPr>
          <w:p w14:paraId="090EF18F">
            <w:pPr>
              <w:jc w:val="center"/>
              <w:rPr>
                <w:rFonts w:hint="eastAsia" w:ascii="宋体"/>
                <w:sz w:val="21"/>
                <w:szCs w:val="21"/>
              </w:rPr>
            </w:pPr>
            <w:r>
              <w:rPr>
                <w:rFonts w:hint="eastAsia" w:ascii="宋体"/>
                <w:sz w:val="21"/>
                <w:szCs w:val="21"/>
              </w:rPr>
              <w:t>能源折算值</w:t>
            </w:r>
          </w:p>
        </w:tc>
        <w:tc>
          <w:tcPr>
            <w:tcW w:w="1705" w:type="dxa"/>
          </w:tcPr>
          <w:p w14:paraId="1D55B5C5">
            <w:pPr>
              <w:jc w:val="center"/>
              <w:rPr>
                <w:rFonts w:hint="eastAsia" w:ascii="宋体"/>
                <w:sz w:val="21"/>
                <w:szCs w:val="21"/>
              </w:rPr>
            </w:pPr>
            <w:r>
              <w:rPr>
                <w:rFonts w:hint="eastAsia" w:ascii="宋体"/>
                <w:sz w:val="21"/>
                <w:szCs w:val="21"/>
              </w:rPr>
              <w:t>备注</w:t>
            </w:r>
          </w:p>
        </w:tc>
      </w:tr>
      <w:tr w14:paraId="7D78FC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04" w:type="dxa"/>
          </w:tcPr>
          <w:p w14:paraId="1B2882BE">
            <w:pPr>
              <w:jc w:val="center"/>
              <w:rPr>
                <w:rFonts w:hint="eastAsia" w:ascii="宋体"/>
                <w:sz w:val="21"/>
                <w:szCs w:val="21"/>
              </w:rPr>
            </w:pPr>
            <w:r>
              <w:rPr>
                <w:rFonts w:hint="eastAsia" w:ascii="宋体"/>
                <w:sz w:val="21"/>
                <w:szCs w:val="21"/>
              </w:rPr>
              <w:t>1</w:t>
            </w:r>
          </w:p>
        </w:tc>
        <w:tc>
          <w:tcPr>
            <w:tcW w:w="1704" w:type="dxa"/>
          </w:tcPr>
          <w:p w14:paraId="7C2C7FAC">
            <w:pPr>
              <w:jc w:val="center"/>
              <w:rPr>
                <w:rFonts w:hint="eastAsia" w:ascii="宋体"/>
                <w:sz w:val="21"/>
                <w:szCs w:val="21"/>
              </w:rPr>
            </w:pPr>
            <w:r>
              <w:rPr>
                <w:rFonts w:hint="eastAsia" w:ascii="宋体"/>
                <w:sz w:val="21"/>
                <w:szCs w:val="21"/>
              </w:rPr>
              <w:t>电</w:t>
            </w:r>
          </w:p>
        </w:tc>
        <w:tc>
          <w:tcPr>
            <w:tcW w:w="1704" w:type="dxa"/>
          </w:tcPr>
          <w:p w14:paraId="522AE2B8">
            <w:pPr>
              <w:jc w:val="center"/>
              <w:rPr>
                <w:rFonts w:hint="eastAsia" w:ascii="宋体"/>
                <w:sz w:val="21"/>
                <w:szCs w:val="21"/>
              </w:rPr>
            </w:pPr>
            <w:r>
              <w:rPr>
                <w:rFonts w:hint="eastAsia" w:ascii="宋体"/>
                <w:sz w:val="21"/>
                <w:szCs w:val="21"/>
              </w:rPr>
              <w:t>k</w:t>
            </w:r>
            <w:r>
              <w:rPr>
                <w:rFonts w:ascii="宋体"/>
                <w:sz w:val="21"/>
                <w:szCs w:val="21"/>
              </w:rPr>
              <w:t>Wh</w:t>
            </w:r>
          </w:p>
        </w:tc>
        <w:tc>
          <w:tcPr>
            <w:tcW w:w="1705" w:type="dxa"/>
          </w:tcPr>
          <w:p w14:paraId="524882C9">
            <w:pPr>
              <w:jc w:val="center"/>
              <w:rPr>
                <w:rFonts w:hint="eastAsia" w:ascii="宋体"/>
                <w:sz w:val="21"/>
                <w:szCs w:val="21"/>
              </w:rPr>
            </w:pPr>
            <w:r>
              <w:rPr>
                <w:rFonts w:hint="eastAsia" w:ascii="宋体"/>
                <w:sz w:val="21"/>
                <w:szCs w:val="21"/>
              </w:rPr>
              <w:t>0</w:t>
            </w:r>
            <w:r>
              <w:rPr>
                <w:rFonts w:ascii="宋体"/>
                <w:sz w:val="21"/>
                <w:szCs w:val="21"/>
              </w:rPr>
              <w:t>.22</w:t>
            </w:r>
          </w:p>
        </w:tc>
        <w:tc>
          <w:tcPr>
            <w:tcW w:w="1705" w:type="dxa"/>
          </w:tcPr>
          <w:p w14:paraId="42CE3FF9">
            <w:pPr>
              <w:jc w:val="center"/>
              <w:rPr>
                <w:rFonts w:hint="eastAsia" w:ascii="宋体"/>
                <w:sz w:val="21"/>
                <w:szCs w:val="21"/>
              </w:rPr>
            </w:pPr>
            <w:r>
              <w:rPr>
                <w:rFonts w:hint="eastAsia" w:ascii="宋体"/>
                <w:sz w:val="21"/>
                <w:szCs w:val="21"/>
              </w:rPr>
              <w:t>-</w:t>
            </w:r>
          </w:p>
        </w:tc>
      </w:tr>
      <w:tr w14:paraId="704372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04" w:type="dxa"/>
          </w:tcPr>
          <w:p w14:paraId="258D4A7A">
            <w:pPr>
              <w:jc w:val="center"/>
              <w:rPr>
                <w:rFonts w:hint="eastAsia" w:ascii="宋体"/>
                <w:sz w:val="21"/>
                <w:szCs w:val="21"/>
              </w:rPr>
            </w:pPr>
            <w:r>
              <w:rPr>
                <w:rFonts w:hint="eastAsia" w:ascii="宋体"/>
                <w:sz w:val="21"/>
                <w:szCs w:val="21"/>
              </w:rPr>
              <w:t>2</w:t>
            </w:r>
          </w:p>
        </w:tc>
        <w:tc>
          <w:tcPr>
            <w:tcW w:w="1704" w:type="dxa"/>
          </w:tcPr>
          <w:p w14:paraId="386EED62">
            <w:pPr>
              <w:jc w:val="center"/>
              <w:rPr>
                <w:rFonts w:hint="eastAsia" w:ascii="宋体"/>
                <w:sz w:val="21"/>
                <w:szCs w:val="21"/>
              </w:rPr>
            </w:pPr>
            <w:r>
              <w:rPr>
                <w:rFonts w:hint="eastAsia" w:ascii="宋体"/>
                <w:sz w:val="21"/>
                <w:szCs w:val="21"/>
              </w:rPr>
              <w:t>标准油</w:t>
            </w:r>
            <w:r>
              <w:rPr>
                <w:rFonts w:hint="eastAsia" w:ascii="宋体"/>
                <w:sz w:val="21"/>
                <w:szCs w:val="21"/>
                <w:vertAlign w:val="superscript"/>
              </w:rPr>
              <w:t>1）</w:t>
            </w:r>
          </w:p>
        </w:tc>
        <w:tc>
          <w:tcPr>
            <w:tcW w:w="1704" w:type="dxa"/>
          </w:tcPr>
          <w:p w14:paraId="129591E2">
            <w:pPr>
              <w:jc w:val="center"/>
              <w:rPr>
                <w:rFonts w:hint="eastAsia" w:ascii="宋体"/>
                <w:sz w:val="21"/>
                <w:szCs w:val="21"/>
              </w:rPr>
            </w:pPr>
            <w:r>
              <w:rPr>
                <w:rFonts w:hint="eastAsia" w:ascii="宋体"/>
                <w:sz w:val="21"/>
                <w:szCs w:val="21"/>
              </w:rPr>
              <w:t>t</w:t>
            </w:r>
          </w:p>
        </w:tc>
        <w:tc>
          <w:tcPr>
            <w:tcW w:w="1705" w:type="dxa"/>
          </w:tcPr>
          <w:p w14:paraId="0F0A574F">
            <w:pPr>
              <w:jc w:val="center"/>
              <w:rPr>
                <w:rFonts w:hint="eastAsia" w:ascii="宋体"/>
                <w:sz w:val="21"/>
                <w:szCs w:val="21"/>
              </w:rPr>
            </w:pPr>
            <w:r>
              <w:rPr>
                <w:rFonts w:hint="eastAsia" w:ascii="宋体"/>
                <w:sz w:val="21"/>
                <w:szCs w:val="21"/>
              </w:rPr>
              <w:t>1</w:t>
            </w:r>
            <w:r>
              <w:rPr>
                <w:rFonts w:ascii="宋体"/>
                <w:sz w:val="21"/>
                <w:szCs w:val="21"/>
              </w:rPr>
              <w:t>000</w:t>
            </w:r>
          </w:p>
        </w:tc>
        <w:tc>
          <w:tcPr>
            <w:tcW w:w="1705" w:type="dxa"/>
          </w:tcPr>
          <w:p w14:paraId="1AC41AC3">
            <w:pPr>
              <w:jc w:val="center"/>
              <w:rPr>
                <w:rFonts w:hint="eastAsia" w:ascii="宋体"/>
                <w:sz w:val="21"/>
                <w:szCs w:val="21"/>
              </w:rPr>
            </w:pPr>
            <w:r>
              <w:rPr>
                <w:rFonts w:hint="eastAsia" w:ascii="宋体"/>
                <w:sz w:val="21"/>
                <w:szCs w:val="21"/>
              </w:rPr>
              <w:t>-</w:t>
            </w:r>
          </w:p>
        </w:tc>
      </w:tr>
      <w:tr w14:paraId="2ABEE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04" w:type="dxa"/>
          </w:tcPr>
          <w:p w14:paraId="669F7767">
            <w:pPr>
              <w:jc w:val="center"/>
              <w:rPr>
                <w:rFonts w:hint="eastAsia" w:ascii="宋体"/>
                <w:sz w:val="21"/>
                <w:szCs w:val="21"/>
              </w:rPr>
            </w:pPr>
            <w:r>
              <w:rPr>
                <w:rFonts w:hint="eastAsia" w:ascii="宋体"/>
                <w:sz w:val="21"/>
                <w:szCs w:val="21"/>
              </w:rPr>
              <w:t>3</w:t>
            </w:r>
          </w:p>
        </w:tc>
        <w:tc>
          <w:tcPr>
            <w:tcW w:w="1704" w:type="dxa"/>
          </w:tcPr>
          <w:p w14:paraId="0EB49173">
            <w:pPr>
              <w:jc w:val="center"/>
              <w:rPr>
                <w:rFonts w:hint="eastAsia" w:ascii="宋体"/>
                <w:sz w:val="21"/>
                <w:szCs w:val="21"/>
              </w:rPr>
            </w:pPr>
            <w:r>
              <w:rPr>
                <w:rFonts w:hint="eastAsia" w:ascii="宋体"/>
                <w:sz w:val="21"/>
                <w:szCs w:val="21"/>
              </w:rPr>
              <w:t>新鲜水</w:t>
            </w:r>
          </w:p>
        </w:tc>
        <w:tc>
          <w:tcPr>
            <w:tcW w:w="1704" w:type="dxa"/>
          </w:tcPr>
          <w:p w14:paraId="403C92E3">
            <w:pPr>
              <w:jc w:val="center"/>
              <w:rPr>
                <w:rFonts w:hint="eastAsia" w:ascii="宋体"/>
                <w:sz w:val="21"/>
                <w:szCs w:val="21"/>
              </w:rPr>
            </w:pPr>
            <w:r>
              <w:rPr>
                <w:rFonts w:ascii="宋体"/>
                <w:sz w:val="21"/>
                <w:szCs w:val="21"/>
              </w:rPr>
              <w:t>t</w:t>
            </w:r>
          </w:p>
        </w:tc>
        <w:tc>
          <w:tcPr>
            <w:tcW w:w="1705" w:type="dxa"/>
          </w:tcPr>
          <w:p w14:paraId="6EDBEB73">
            <w:pPr>
              <w:jc w:val="center"/>
              <w:rPr>
                <w:rFonts w:hint="eastAsia" w:ascii="宋体"/>
                <w:sz w:val="21"/>
                <w:szCs w:val="21"/>
              </w:rPr>
            </w:pPr>
            <w:r>
              <w:rPr>
                <w:rFonts w:hint="eastAsia" w:ascii="宋体"/>
                <w:sz w:val="21"/>
                <w:szCs w:val="21"/>
              </w:rPr>
              <w:t>0</w:t>
            </w:r>
            <w:r>
              <w:rPr>
                <w:rFonts w:ascii="宋体"/>
                <w:sz w:val="21"/>
                <w:szCs w:val="21"/>
              </w:rPr>
              <w:t>.15</w:t>
            </w:r>
          </w:p>
        </w:tc>
        <w:tc>
          <w:tcPr>
            <w:tcW w:w="1705" w:type="dxa"/>
          </w:tcPr>
          <w:p w14:paraId="05E48494">
            <w:pPr>
              <w:jc w:val="center"/>
              <w:rPr>
                <w:rFonts w:hint="eastAsia" w:ascii="宋体"/>
                <w:sz w:val="21"/>
                <w:szCs w:val="21"/>
              </w:rPr>
            </w:pPr>
            <w:r>
              <w:rPr>
                <w:rFonts w:hint="eastAsia" w:ascii="宋体"/>
                <w:sz w:val="21"/>
                <w:szCs w:val="21"/>
              </w:rPr>
              <w:t>-</w:t>
            </w:r>
          </w:p>
        </w:tc>
      </w:tr>
      <w:tr w14:paraId="6A01B1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04" w:type="dxa"/>
          </w:tcPr>
          <w:p w14:paraId="78C4DDA3">
            <w:pPr>
              <w:jc w:val="center"/>
              <w:rPr>
                <w:rFonts w:hint="eastAsia" w:ascii="宋体"/>
                <w:sz w:val="21"/>
                <w:szCs w:val="21"/>
              </w:rPr>
            </w:pPr>
            <w:r>
              <w:rPr>
                <w:rFonts w:hint="eastAsia" w:ascii="宋体"/>
                <w:sz w:val="21"/>
                <w:szCs w:val="21"/>
              </w:rPr>
              <w:t>4</w:t>
            </w:r>
          </w:p>
        </w:tc>
        <w:tc>
          <w:tcPr>
            <w:tcW w:w="1704" w:type="dxa"/>
          </w:tcPr>
          <w:p w14:paraId="3377ADE0">
            <w:pPr>
              <w:jc w:val="center"/>
              <w:rPr>
                <w:rFonts w:hint="eastAsia" w:ascii="宋体"/>
                <w:sz w:val="21"/>
                <w:szCs w:val="21"/>
              </w:rPr>
            </w:pPr>
            <w:r>
              <w:rPr>
                <w:rFonts w:hint="eastAsia" w:ascii="宋体"/>
                <w:sz w:val="21"/>
                <w:szCs w:val="21"/>
              </w:rPr>
              <w:t>循环水</w:t>
            </w:r>
          </w:p>
        </w:tc>
        <w:tc>
          <w:tcPr>
            <w:tcW w:w="1704" w:type="dxa"/>
          </w:tcPr>
          <w:p w14:paraId="1156475D">
            <w:pPr>
              <w:jc w:val="center"/>
              <w:rPr>
                <w:rFonts w:hint="eastAsia" w:ascii="宋体"/>
                <w:sz w:val="21"/>
                <w:szCs w:val="21"/>
              </w:rPr>
            </w:pPr>
            <w:r>
              <w:rPr>
                <w:rFonts w:ascii="宋体"/>
                <w:sz w:val="21"/>
                <w:szCs w:val="21"/>
              </w:rPr>
              <w:t>t</w:t>
            </w:r>
          </w:p>
        </w:tc>
        <w:tc>
          <w:tcPr>
            <w:tcW w:w="1705" w:type="dxa"/>
          </w:tcPr>
          <w:p w14:paraId="35FC7E39">
            <w:pPr>
              <w:jc w:val="center"/>
              <w:rPr>
                <w:rFonts w:hint="eastAsia" w:ascii="宋体"/>
                <w:sz w:val="21"/>
                <w:szCs w:val="21"/>
              </w:rPr>
            </w:pPr>
            <w:r>
              <w:rPr>
                <w:rFonts w:hint="eastAsia" w:ascii="宋体"/>
                <w:sz w:val="21"/>
                <w:szCs w:val="21"/>
              </w:rPr>
              <w:t>0</w:t>
            </w:r>
            <w:r>
              <w:rPr>
                <w:rFonts w:ascii="宋体"/>
                <w:sz w:val="21"/>
                <w:szCs w:val="21"/>
              </w:rPr>
              <w:t>.06</w:t>
            </w:r>
          </w:p>
        </w:tc>
        <w:tc>
          <w:tcPr>
            <w:tcW w:w="1705" w:type="dxa"/>
          </w:tcPr>
          <w:p w14:paraId="32831677">
            <w:pPr>
              <w:jc w:val="center"/>
              <w:rPr>
                <w:rFonts w:hint="eastAsia" w:ascii="宋体"/>
                <w:sz w:val="21"/>
                <w:szCs w:val="21"/>
              </w:rPr>
            </w:pPr>
            <w:r>
              <w:rPr>
                <w:rFonts w:hint="eastAsia" w:ascii="宋体"/>
                <w:sz w:val="21"/>
                <w:szCs w:val="21"/>
              </w:rPr>
              <w:t>-</w:t>
            </w:r>
          </w:p>
        </w:tc>
      </w:tr>
      <w:tr w14:paraId="04B14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04" w:type="dxa"/>
          </w:tcPr>
          <w:p w14:paraId="5DF77619">
            <w:pPr>
              <w:jc w:val="center"/>
              <w:rPr>
                <w:rFonts w:hint="eastAsia" w:ascii="宋体"/>
                <w:sz w:val="21"/>
                <w:szCs w:val="21"/>
              </w:rPr>
            </w:pPr>
            <w:r>
              <w:rPr>
                <w:rFonts w:hint="eastAsia" w:ascii="宋体"/>
                <w:sz w:val="21"/>
                <w:szCs w:val="21"/>
              </w:rPr>
              <w:t>5</w:t>
            </w:r>
          </w:p>
        </w:tc>
        <w:tc>
          <w:tcPr>
            <w:tcW w:w="1704" w:type="dxa"/>
          </w:tcPr>
          <w:p w14:paraId="797A79FD">
            <w:pPr>
              <w:jc w:val="center"/>
              <w:rPr>
                <w:rFonts w:hint="eastAsia" w:ascii="宋体"/>
                <w:sz w:val="21"/>
                <w:szCs w:val="21"/>
              </w:rPr>
            </w:pPr>
            <w:r>
              <w:rPr>
                <w:rFonts w:hint="eastAsia" w:ascii="宋体"/>
                <w:sz w:val="21"/>
                <w:szCs w:val="21"/>
              </w:rPr>
              <w:t>软化水</w:t>
            </w:r>
          </w:p>
        </w:tc>
        <w:tc>
          <w:tcPr>
            <w:tcW w:w="1704" w:type="dxa"/>
          </w:tcPr>
          <w:p w14:paraId="6AA6E81A">
            <w:pPr>
              <w:jc w:val="center"/>
              <w:rPr>
                <w:rFonts w:hint="eastAsia" w:ascii="宋体"/>
                <w:sz w:val="21"/>
                <w:szCs w:val="21"/>
              </w:rPr>
            </w:pPr>
            <w:r>
              <w:rPr>
                <w:rFonts w:ascii="宋体"/>
                <w:sz w:val="21"/>
                <w:szCs w:val="21"/>
              </w:rPr>
              <w:t>t</w:t>
            </w:r>
          </w:p>
        </w:tc>
        <w:tc>
          <w:tcPr>
            <w:tcW w:w="1705" w:type="dxa"/>
          </w:tcPr>
          <w:p w14:paraId="20231DC4">
            <w:pPr>
              <w:jc w:val="center"/>
              <w:rPr>
                <w:rFonts w:hint="eastAsia" w:ascii="宋体"/>
                <w:sz w:val="21"/>
                <w:szCs w:val="21"/>
              </w:rPr>
            </w:pPr>
            <w:r>
              <w:rPr>
                <w:rFonts w:hint="eastAsia" w:ascii="宋体"/>
                <w:sz w:val="21"/>
                <w:szCs w:val="21"/>
              </w:rPr>
              <w:t>0</w:t>
            </w:r>
            <w:r>
              <w:rPr>
                <w:rFonts w:ascii="宋体"/>
                <w:sz w:val="21"/>
                <w:szCs w:val="21"/>
              </w:rPr>
              <w:t>.20</w:t>
            </w:r>
          </w:p>
        </w:tc>
        <w:tc>
          <w:tcPr>
            <w:tcW w:w="1705" w:type="dxa"/>
          </w:tcPr>
          <w:p w14:paraId="7E39A664">
            <w:pPr>
              <w:jc w:val="center"/>
              <w:rPr>
                <w:rFonts w:hint="eastAsia" w:ascii="宋体"/>
                <w:sz w:val="21"/>
                <w:szCs w:val="21"/>
              </w:rPr>
            </w:pPr>
            <w:r>
              <w:rPr>
                <w:rFonts w:hint="eastAsia" w:ascii="宋体"/>
                <w:sz w:val="21"/>
                <w:szCs w:val="21"/>
              </w:rPr>
              <w:t>-</w:t>
            </w:r>
          </w:p>
        </w:tc>
      </w:tr>
      <w:tr w14:paraId="66DC7F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04" w:type="dxa"/>
          </w:tcPr>
          <w:p w14:paraId="1F2664EF">
            <w:pPr>
              <w:jc w:val="center"/>
              <w:rPr>
                <w:rFonts w:hint="eastAsia" w:ascii="宋体"/>
                <w:sz w:val="21"/>
                <w:szCs w:val="21"/>
              </w:rPr>
            </w:pPr>
            <w:r>
              <w:rPr>
                <w:rFonts w:hint="eastAsia" w:ascii="宋体"/>
                <w:sz w:val="21"/>
                <w:szCs w:val="21"/>
              </w:rPr>
              <w:t>6</w:t>
            </w:r>
          </w:p>
        </w:tc>
        <w:tc>
          <w:tcPr>
            <w:tcW w:w="1704" w:type="dxa"/>
          </w:tcPr>
          <w:p w14:paraId="1EFAE2DE">
            <w:pPr>
              <w:jc w:val="center"/>
              <w:rPr>
                <w:rFonts w:hint="eastAsia" w:ascii="宋体"/>
                <w:sz w:val="21"/>
                <w:szCs w:val="21"/>
              </w:rPr>
            </w:pPr>
            <w:r>
              <w:rPr>
                <w:rFonts w:hint="eastAsia" w:ascii="宋体"/>
                <w:sz w:val="21"/>
                <w:szCs w:val="21"/>
              </w:rPr>
              <w:t>除盐水</w:t>
            </w:r>
          </w:p>
        </w:tc>
        <w:tc>
          <w:tcPr>
            <w:tcW w:w="1704" w:type="dxa"/>
          </w:tcPr>
          <w:p w14:paraId="19DE216A">
            <w:pPr>
              <w:jc w:val="center"/>
              <w:rPr>
                <w:rFonts w:hint="eastAsia" w:ascii="宋体"/>
                <w:sz w:val="21"/>
                <w:szCs w:val="21"/>
              </w:rPr>
            </w:pPr>
            <w:r>
              <w:rPr>
                <w:rFonts w:ascii="宋体"/>
                <w:sz w:val="21"/>
                <w:szCs w:val="21"/>
              </w:rPr>
              <w:t>t</w:t>
            </w:r>
          </w:p>
        </w:tc>
        <w:tc>
          <w:tcPr>
            <w:tcW w:w="1705" w:type="dxa"/>
          </w:tcPr>
          <w:p w14:paraId="79B48CE9">
            <w:pPr>
              <w:jc w:val="center"/>
              <w:rPr>
                <w:rFonts w:hint="eastAsia" w:ascii="宋体"/>
                <w:sz w:val="21"/>
                <w:szCs w:val="21"/>
              </w:rPr>
            </w:pPr>
            <w:r>
              <w:rPr>
                <w:rFonts w:hint="eastAsia" w:ascii="宋体"/>
                <w:sz w:val="21"/>
                <w:szCs w:val="21"/>
              </w:rPr>
              <w:t>1</w:t>
            </w:r>
            <w:r>
              <w:rPr>
                <w:rFonts w:ascii="宋体"/>
                <w:sz w:val="21"/>
                <w:szCs w:val="21"/>
              </w:rPr>
              <w:t>.0</w:t>
            </w:r>
          </w:p>
        </w:tc>
        <w:tc>
          <w:tcPr>
            <w:tcW w:w="1705" w:type="dxa"/>
          </w:tcPr>
          <w:p w14:paraId="1E8EC9B2">
            <w:pPr>
              <w:jc w:val="center"/>
              <w:rPr>
                <w:rFonts w:hint="eastAsia" w:ascii="宋体"/>
                <w:sz w:val="21"/>
                <w:szCs w:val="21"/>
              </w:rPr>
            </w:pPr>
            <w:r>
              <w:rPr>
                <w:rFonts w:hint="eastAsia" w:ascii="宋体"/>
                <w:sz w:val="21"/>
                <w:szCs w:val="21"/>
              </w:rPr>
              <w:t>-</w:t>
            </w:r>
          </w:p>
        </w:tc>
      </w:tr>
      <w:tr w14:paraId="1478B3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04" w:type="dxa"/>
          </w:tcPr>
          <w:p w14:paraId="341A79F8">
            <w:pPr>
              <w:jc w:val="center"/>
              <w:rPr>
                <w:rFonts w:hint="eastAsia" w:ascii="宋体"/>
                <w:sz w:val="21"/>
                <w:szCs w:val="21"/>
              </w:rPr>
            </w:pPr>
            <w:r>
              <w:rPr>
                <w:rFonts w:hint="eastAsia" w:ascii="宋体"/>
                <w:sz w:val="21"/>
                <w:szCs w:val="21"/>
              </w:rPr>
              <w:t>7</w:t>
            </w:r>
          </w:p>
        </w:tc>
        <w:tc>
          <w:tcPr>
            <w:tcW w:w="1704" w:type="dxa"/>
          </w:tcPr>
          <w:p w14:paraId="76C5F76E">
            <w:pPr>
              <w:jc w:val="center"/>
              <w:rPr>
                <w:rFonts w:hint="eastAsia" w:ascii="宋体"/>
                <w:sz w:val="21"/>
                <w:szCs w:val="21"/>
              </w:rPr>
            </w:pPr>
            <w:r>
              <w:rPr>
                <w:rFonts w:hint="eastAsia" w:ascii="宋体"/>
                <w:sz w:val="21"/>
                <w:szCs w:val="21"/>
              </w:rPr>
              <w:t>氮气</w:t>
            </w:r>
            <w:r>
              <w:rPr>
                <w:rFonts w:hint="eastAsia" w:ascii="宋体"/>
                <w:sz w:val="21"/>
                <w:szCs w:val="21"/>
                <w:vertAlign w:val="superscript"/>
              </w:rPr>
              <w:t>2）</w:t>
            </w:r>
          </w:p>
        </w:tc>
        <w:tc>
          <w:tcPr>
            <w:tcW w:w="1704" w:type="dxa"/>
          </w:tcPr>
          <w:p w14:paraId="23B23D16">
            <w:pPr>
              <w:jc w:val="center"/>
              <w:rPr>
                <w:rFonts w:hint="eastAsia" w:ascii="宋体"/>
                <w:sz w:val="21"/>
                <w:szCs w:val="21"/>
              </w:rPr>
            </w:pPr>
            <w:r>
              <w:rPr>
                <w:rFonts w:hint="eastAsia" w:ascii="宋体"/>
                <w:sz w:val="21"/>
                <w:szCs w:val="21"/>
              </w:rPr>
              <w:t>㎡</w:t>
            </w:r>
          </w:p>
        </w:tc>
        <w:tc>
          <w:tcPr>
            <w:tcW w:w="1705" w:type="dxa"/>
          </w:tcPr>
          <w:p w14:paraId="07DE2DDE">
            <w:pPr>
              <w:jc w:val="center"/>
              <w:rPr>
                <w:rFonts w:hint="eastAsia" w:ascii="宋体"/>
                <w:sz w:val="21"/>
                <w:szCs w:val="21"/>
              </w:rPr>
            </w:pPr>
            <w:r>
              <w:rPr>
                <w:rFonts w:hint="eastAsia" w:ascii="宋体"/>
                <w:sz w:val="21"/>
                <w:szCs w:val="21"/>
              </w:rPr>
              <w:t>0</w:t>
            </w:r>
            <w:r>
              <w:rPr>
                <w:rFonts w:ascii="宋体"/>
                <w:sz w:val="21"/>
                <w:szCs w:val="21"/>
              </w:rPr>
              <w:t>.15</w:t>
            </w:r>
          </w:p>
        </w:tc>
        <w:tc>
          <w:tcPr>
            <w:tcW w:w="1705" w:type="dxa"/>
          </w:tcPr>
          <w:p w14:paraId="71924BF4">
            <w:pPr>
              <w:jc w:val="center"/>
              <w:rPr>
                <w:rFonts w:hint="eastAsia" w:ascii="宋体"/>
                <w:sz w:val="21"/>
                <w:szCs w:val="21"/>
              </w:rPr>
            </w:pPr>
            <w:r>
              <w:rPr>
                <w:rFonts w:hint="eastAsia" w:ascii="宋体"/>
                <w:sz w:val="21"/>
                <w:szCs w:val="21"/>
              </w:rPr>
              <w:t>-</w:t>
            </w:r>
          </w:p>
        </w:tc>
      </w:tr>
    </w:tbl>
    <w:p w14:paraId="56ED64B9">
      <w:pPr>
        <w:jc w:val="left"/>
      </w:pPr>
      <w:r>
        <w:rPr>
          <w:rFonts w:hint="eastAsia"/>
        </w:rPr>
        <w:t>注：1）燃料按其低发热量折算成标准油:</w:t>
      </w:r>
    </w:p>
    <w:p w14:paraId="1693FC8D">
      <w:pPr>
        <w:ind w:firstLine="420" w:firstLineChars="200"/>
        <w:jc w:val="left"/>
      </w:pPr>
      <w:r>
        <w:t>2</w:t>
      </w:r>
      <w:r>
        <w:rPr>
          <w:rFonts w:hint="eastAsia"/>
        </w:rPr>
        <w:t>）</w:t>
      </w:r>
      <w:r>
        <w:t xml:space="preserve">0 ℃和0.101325 MPa </w:t>
      </w:r>
      <w:r>
        <w:rPr>
          <w:rFonts w:hint="eastAsia"/>
        </w:rPr>
        <w:t>状态下的体积。本文件中涉及的气体剂量单位(m³)均为该状态下的体积。</w:t>
      </w:r>
    </w:p>
    <w:p w14:paraId="5DA5856E">
      <w:pPr>
        <w:ind w:firstLine="420" w:firstLineChars="200"/>
        <w:jc w:val="left"/>
      </w:pPr>
    </w:p>
    <w:p w14:paraId="490D04CD">
      <w:pPr>
        <w:rPr>
          <w:b/>
          <w:bCs/>
        </w:rPr>
      </w:pPr>
      <w:r>
        <w:rPr>
          <w:rFonts w:hint="eastAsia"/>
          <w:b/>
          <w:bCs/>
        </w:rPr>
        <w:t>算例</w:t>
      </w:r>
    </w:p>
    <w:p w14:paraId="107112A9">
      <w:pPr>
        <w:ind w:firstLine="420" w:firstLineChars="200"/>
        <w:rPr>
          <w:b/>
          <w:bCs/>
        </w:rPr>
      </w:pPr>
      <w:r>
        <w:rPr>
          <w:rFonts w:hint="eastAsia"/>
        </w:rPr>
        <w:t>某15万吨/年烟气CO</w:t>
      </w:r>
      <w:r>
        <w:rPr>
          <w:vertAlign w:val="subscript"/>
        </w:rPr>
        <w:t>2</w:t>
      </w:r>
      <w:r>
        <w:rPr>
          <w:rFonts w:hint="eastAsia"/>
        </w:rPr>
        <w:t>捕集工程设计正常运行时公用工程消耗如表A.2所示</w:t>
      </w:r>
      <w:r>
        <w:rPr>
          <w:rFonts w:hint="eastAsia"/>
          <w:b/>
          <w:bCs/>
        </w:rPr>
        <w:t>。</w:t>
      </w:r>
    </w:p>
    <w:p w14:paraId="258C1AF8">
      <w:pPr>
        <w:jc w:val="center"/>
      </w:pPr>
      <w:r>
        <w:rPr>
          <w:rFonts w:hint="eastAsia"/>
        </w:rPr>
        <w:t>表A.2 15万吨/年烟气 CO,捕集工程公用工程设计消耗</w:t>
      </w:r>
    </w:p>
    <w:tbl>
      <w:tblPr>
        <w:tblStyle w:val="5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36"/>
        <w:gridCol w:w="2421"/>
        <w:gridCol w:w="1004"/>
        <w:gridCol w:w="846"/>
        <w:gridCol w:w="2736"/>
      </w:tblGrid>
      <w:tr w14:paraId="348D41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jc w:val="center"/>
        </w:trPr>
        <w:tc>
          <w:tcPr>
            <w:tcW w:w="0" w:type="auto"/>
          </w:tcPr>
          <w:p w14:paraId="2DA96FD9">
            <w:pPr>
              <w:jc w:val="center"/>
              <w:rPr>
                <w:rFonts w:hint="eastAsia" w:ascii="宋体"/>
                <w:sz w:val="21"/>
                <w:szCs w:val="21"/>
              </w:rPr>
            </w:pPr>
            <w:r>
              <w:rPr>
                <w:rFonts w:hint="eastAsia" w:ascii="宋体"/>
                <w:sz w:val="21"/>
                <w:szCs w:val="21"/>
              </w:rPr>
              <w:t>序号</w:t>
            </w:r>
          </w:p>
        </w:tc>
        <w:tc>
          <w:tcPr>
            <w:tcW w:w="0" w:type="auto"/>
          </w:tcPr>
          <w:p w14:paraId="5834A741">
            <w:pPr>
              <w:jc w:val="center"/>
              <w:rPr>
                <w:rFonts w:hint="eastAsia" w:ascii="宋体"/>
                <w:sz w:val="21"/>
                <w:szCs w:val="21"/>
              </w:rPr>
            </w:pPr>
            <w:r>
              <w:rPr>
                <w:rFonts w:hint="eastAsia" w:ascii="宋体"/>
                <w:sz w:val="21"/>
                <w:szCs w:val="21"/>
              </w:rPr>
              <w:t>项目</w:t>
            </w:r>
          </w:p>
        </w:tc>
        <w:tc>
          <w:tcPr>
            <w:tcW w:w="0" w:type="auto"/>
          </w:tcPr>
          <w:p w14:paraId="77015721">
            <w:pPr>
              <w:jc w:val="center"/>
              <w:rPr>
                <w:rFonts w:hint="eastAsia" w:ascii="宋体"/>
                <w:sz w:val="21"/>
                <w:szCs w:val="21"/>
              </w:rPr>
            </w:pPr>
            <w:r>
              <w:rPr>
                <w:rFonts w:hint="eastAsia" w:ascii="宋体"/>
                <w:sz w:val="21"/>
                <w:szCs w:val="21"/>
              </w:rPr>
              <w:t>单位</w:t>
            </w:r>
          </w:p>
        </w:tc>
        <w:tc>
          <w:tcPr>
            <w:tcW w:w="0" w:type="auto"/>
          </w:tcPr>
          <w:p w14:paraId="09788A1F">
            <w:pPr>
              <w:jc w:val="center"/>
              <w:rPr>
                <w:rFonts w:hint="eastAsia" w:ascii="宋体"/>
                <w:sz w:val="21"/>
                <w:szCs w:val="21"/>
              </w:rPr>
            </w:pPr>
            <w:r>
              <w:rPr>
                <w:rFonts w:hint="eastAsia" w:ascii="宋体"/>
                <w:sz w:val="21"/>
                <w:szCs w:val="21"/>
              </w:rPr>
              <w:t>消耗量</w:t>
            </w:r>
          </w:p>
        </w:tc>
        <w:tc>
          <w:tcPr>
            <w:tcW w:w="0" w:type="auto"/>
          </w:tcPr>
          <w:p w14:paraId="705787EC">
            <w:pPr>
              <w:jc w:val="center"/>
              <w:rPr>
                <w:rFonts w:hint="eastAsia" w:ascii="宋体"/>
                <w:sz w:val="21"/>
                <w:szCs w:val="21"/>
              </w:rPr>
            </w:pPr>
            <w:r>
              <w:rPr>
                <w:rFonts w:hint="eastAsia" w:ascii="宋体"/>
                <w:sz w:val="21"/>
                <w:szCs w:val="21"/>
              </w:rPr>
              <w:t>备注</w:t>
            </w:r>
          </w:p>
        </w:tc>
      </w:tr>
      <w:tr w14:paraId="1FD06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jc w:val="center"/>
        </w:trPr>
        <w:tc>
          <w:tcPr>
            <w:tcW w:w="0" w:type="auto"/>
          </w:tcPr>
          <w:p w14:paraId="2A0A2CB9">
            <w:pPr>
              <w:jc w:val="center"/>
              <w:rPr>
                <w:rFonts w:hint="eastAsia" w:ascii="宋体"/>
                <w:sz w:val="21"/>
                <w:szCs w:val="21"/>
              </w:rPr>
            </w:pPr>
            <w:r>
              <w:rPr>
                <w:rFonts w:hint="eastAsia" w:ascii="宋体"/>
                <w:sz w:val="21"/>
                <w:szCs w:val="21"/>
              </w:rPr>
              <w:t>1</w:t>
            </w:r>
          </w:p>
        </w:tc>
        <w:tc>
          <w:tcPr>
            <w:tcW w:w="0" w:type="auto"/>
          </w:tcPr>
          <w:p w14:paraId="636272B9">
            <w:pPr>
              <w:jc w:val="center"/>
              <w:rPr>
                <w:rFonts w:hint="eastAsia" w:ascii="宋体"/>
                <w:sz w:val="21"/>
                <w:szCs w:val="21"/>
              </w:rPr>
            </w:pPr>
            <w:r>
              <w:rPr>
                <w:rFonts w:hint="eastAsia" w:ascii="宋体"/>
                <w:sz w:val="21"/>
                <w:szCs w:val="21"/>
              </w:rPr>
              <w:t>电</w:t>
            </w:r>
          </w:p>
        </w:tc>
        <w:tc>
          <w:tcPr>
            <w:tcW w:w="0" w:type="auto"/>
          </w:tcPr>
          <w:p w14:paraId="52D801EA">
            <w:pPr>
              <w:jc w:val="center"/>
              <w:rPr>
                <w:rFonts w:hint="eastAsia" w:ascii="宋体"/>
                <w:sz w:val="21"/>
                <w:szCs w:val="21"/>
              </w:rPr>
            </w:pPr>
            <w:r>
              <w:rPr>
                <w:rFonts w:hint="eastAsia" w:ascii="宋体"/>
                <w:sz w:val="21"/>
                <w:szCs w:val="21"/>
              </w:rPr>
              <w:t>k</w:t>
            </w:r>
            <w:r>
              <w:rPr>
                <w:rFonts w:ascii="宋体"/>
                <w:sz w:val="21"/>
                <w:szCs w:val="21"/>
              </w:rPr>
              <w:t>Wh/tCO</w:t>
            </w:r>
            <w:r>
              <w:rPr>
                <w:rFonts w:ascii="宋体"/>
                <w:sz w:val="21"/>
                <w:szCs w:val="21"/>
                <w:vertAlign w:val="subscript"/>
              </w:rPr>
              <w:t>2</w:t>
            </w:r>
          </w:p>
        </w:tc>
        <w:tc>
          <w:tcPr>
            <w:tcW w:w="0" w:type="auto"/>
          </w:tcPr>
          <w:p w14:paraId="43CE5EA0">
            <w:pPr>
              <w:jc w:val="center"/>
              <w:rPr>
                <w:rFonts w:hint="eastAsia" w:ascii="宋体"/>
                <w:sz w:val="21"/>
                <w:szCs w:val="21"/>
              </w:rPr>
            </w:pPr>
            <w:r>
              <w:rPr>
                <w:rFonts w:hint="eastAsia" w:ascii="宋体"/>
                <w:sz w:val="21"/>
                <w:szCs w:val="21"/>
              </w:rPr>
              <w:t>≤9</w:t>
            </w:r>
            <w:r>
              <w:rPr>
                <w:rFonts w:ascii="宋体"/>
                <w:sz w:val="21"/>
                <w:szCs w:val="21"/>
              </w:rPr>
              <w:t>5</w:t>
            </w:r>
          </w:p>
        </w:tc>
        <w:tc>
          <w:tcPr>
            <w:tcW w:w="0" w:type="auto"/>
          </w:tcPr>
          <w:p w14:paraId="5F10FA30">
            <w:pPr>
              <w:jc w:val="center"/>
              <w:rPr>
                <w:rFonts w:hint="eastAsia" w:ascii="宋体"/>
                <w:sz w:val="21"/>
                <w:szCs w:val="21"/>
              </w:rPr>
            </w:pPr>
            <w:r>
              <w:rPr>
                <w:rFonts w:hint="eastAsia" w:ascii="宋体"/>
                <w:sz w:val="21"/>
                <w:szCs w:val="21"/>
              </w:rPr>
              <w:t>连续（正常运行）</w:t>
            </w:r>
          </w:p>
        </w:tc>
      </w:tr>
      <w:tr w14:paraId="4F436F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0" w:hRule="atLeast"/>
          <w:jc w:val="center"/>
        </w:trPr>
        <w:tc>
          <w:tcPr>
            <w:tcW w:w="0" w:type="auto"/>
          </w:tcPr>
          <w:p w14:paraId="19450609">
            <w:pPr>
              <w:jc w:val="center"/>
              <w:rPr>
                <w:rFonts w:hint="eastAsia" w:ascii="宋体"/>
                <w:sz w:val="21"/>
                <w:szCs w:val="21"/>
              </w:rPr>
            </w:pPr>
            <w:r>
              <w:rPr>
                <w:rFonts w:hint="eastAsia" w:ascii="宋体"/>
                <w:sz w:val="21"/>
                <w:szCs w:val="21"/>
              </w:rPr>
              <w:t>2</w:t>
            </w:r>
          </w:p>
        </w:tc>
        <w:tc>
          <w:tcPr>
            <w:tcW w:w="0" w:type="auto"/>
          </w:tcPr>
          <w:p w14:paraId="08054876">
            <w:pPr>
              <w:jc w:val="center"/>
              <w:rPr>
                <w:rFonts w:hint="eastAsia" w:ascii="宋体"/>
                <w:sz w:val="21"/>
                <w:szCs w:val="21"/>
              </w:rPr>
            </w:pPr>
            <w:r>
              <w:rPr>
                <w:rFonts w:hint="eastAsia" w:ascii="宋体"/>
                <w:sz w:val="21"/>
                <w:szCs w:val="21"/>
              </w:rPr>
              <w:t>蒸汽（0</w:t>
            </w:r>
            <w:r>
              <w:rPr>
                <w:rFonts w:ascii="宋体"/>
                <w:sz w:val="21"/>
                <w:szCs w:val="21"/>
              </w:rPr>
              <w:t>.3M</w:t>
            </w:r>
            <w:r>
              <w:rPr>
                <w:rFonts w:hint="eastAsia" w:ascii="宋体"/>
                <w:sz w:val="21"/>
                <w:szCs w:val="21"/>
              </w:rPr>
              <w:t>pag）</w:t>
            </w:r>
          </w:p>
        </w:tc>
        <w:tc>
          <w:tcPr>
            <w:tcW w:w="0" w:type="auto"/>
          </w:tcPr>
          <w:p w14:paraId="4DB98B64">
            <w:pPr>
              <w:jc w:val="center"/>
              <w:rPr>
                <w:rFonts w:hint="eastAsia" w:ascii="宋体"/>
                <w:sz w:val="21"/>
                <w:szCs w:val="21"/>
              </w:rPr>
            </w:pPr>
            <w:r>
              <w:rPr>
                <w:rFonts w:hint="eastAsia" w:ascii="宋体"/>
                <w:sz w:val="21"/>
                <w:szCs w:val="21"/>
              </w:rPr>
              <w:t>t</w:t>
            </w:r>
            <w:r>
              <w:rPr>
                <w:rFonts w:ascii="宋体"/>
                <w:sz w:val="21"/>
                <w:szCs w:val="21"/>
              </w:rPr>
              <w:t>/tCO</w:t>
            </w:r>
            <w:r>
              <w:rPr>
                <w:rFonts w:ascii="宋体"/>
                <w:sz w:val="21"/>
                <w:szCs w:val="21"/>
                <w:vertAlign w:val="subscript"/>
              </w:rPr>
              <w:t>2</w:t>
            </w:r>
          </w:p>
        </w:tc>
        <w:tc>
          <w:tcPr>
            <w:tcW w:w="0" w:type="auto"/>
          </w:tcPr>
          <w:p w14:paraId="622561D4">
            <w:pPr>
              <w:jc w:val="center"/>
              <w:rPr>
                <w:rFonts w:hint="eastAsia" w:ascii="宋体"/>
                <w:sz w:val="21"/>
                <w:szCs w:val="21"/>
              </w:rPr>
            </w:pPr>
            <w:r>
              <w:rPr>
                <w:rFonts w:hint="eastAsia" w:ascii="宋体"/>
                <w:sz w:val="21"/>
                <w:szCs w:val="21"/>
              </w:rPr>
              <w:t>1</w:t>
            </w:r>
            <w:r>
              <w:rPr>
                <w:rFonts w:ascii="宋体"/>
                <w:sz w:val="21"/>
                <w:szCs w:val="21"/>
              </w:rPr>
              <w:t>.12</w:t>
            </w:r>
          </w:p>
        </w:tc>
        <w:tc>
          <w:tcPr>
            <w:tcW w:w="0" w:type="auto"/>
          </w:tcPr>
          <w:p w14:paraId="4F26EE70">
            <w:pPr>
              <w:jc w:val="center"/>
              <w:rPr>
                <w:rFonts w:hint="eastAsia" w:ascii="宋体"/>
                <w:sz w:val="21"/>
                <w:szCs w:val="21"/>
              </w:rPr>
            </w:pPr>
            <w:r>
              <w:rPr>
                <w:rFonts w:hint="eastAsia" w:ascii="宋体"/>
                <w:sz w:val="21"/>
                <w:szCs w:val="21"/>
              </w:rPr>
              <w:t>连续（正常运行）</w:t>
            </w:r>
          </w:p>
        </w:tc>
      </w:tr>
      <w:tr w14:paraId="3D38CC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jc w:val="center"/>
        </w:trPr>
        <w:tc>
          <w:tcPr>
            <w:tcW w:w="0" w:type="auto"/>
          </w:tcPr>
          <w:p w14:paraId="69215129">
            <w:pPr>
              <w:jc w:val="center"/>
              <w:rPr>
                <w:rFonts w:hint="eastAsia" w:ascii="宋体"/>
                <w:sz w:val="21"/>
                <w:szCs w:val="21"/>
              </w:rPr>
            </w:pPr>
            <w:r>
              <w:rPr>
                <w:rFonts w:hint="eastAsia" w:ascii="宋体"/>
                <w:sz w:val="21"/>
                <w:szCs w:val="21"/>
              </w:rPr>
              <w:t>3</w:t>
            </w:r>
          </w:p>
        </w:tc>
        <w:tc>
          <w:tcPr>
            <w:tcW w:w="0" w:type="auto"/>
          </w:tcPr>
          <w:p w14:paraId="3E338D01">
            <w:pPr>
              <w:jc w:val="center"/>
              <w:rPr>
                <w:rFonts w:hint="eastAsia" w:ascii="宋体"/>
                <w:sz w:val="21"/>
                <w:szCs w:val="21"/>
              </w:rPr>
            </w:pPr>
            <w:r>
              <w:rPr>
                <w:rFonts w:hint="eastAsia" w:ascii="宋体"/>
                <w:sz w:val="21"/>
                <w:szCs w:val="21"/>
              </w:rPr>
              <w:t>循环冷却水</w:t>
            </w:r>
          </w:p>
        </w:tc>
        <w:tc>
          <w:tcPr>
            <w:tcW w:w="0" w:type="auto"/>
          </w:tcPr>
          <w:p w14:paraId="5AB5238C">
            <w:pPr>
              <w:jc w:val="center"/>
              <w:rPr>
                <w:rFonts w:hint="eastAsia" w:ascii="宋体"/>
                <w:sz w:val="21"/>
                <w:szCs w:val="21"/>
              </w:rPr>
            </w:pPr>
            <w:r>
              <w:rPr>
                <w:rFonts w:hint="eastAsia" w:ascii="宋体"/>
                <w:sz w:val="21"/>
                <w:szCs w:val="21"/>
              </w:rPr>
              <w:t>t</w:t>
            </w:r>
            <w:r>
              <w:rPr>
                <w:rFonts w:ascii="宋体"/>
                <w:sz w:val="21"/>
                <w:szCs w:val="21"/>
              </w:rPr>
              <w:t>/tCO</w:t>
            </w:r>
            <w:r>
              <w:rPr>
                <w:rFonts w:ascii="宋体"/>
                <w:sz w:val="21"/>
                <w:szCs w:val="21"/>
                <w:vertAlign w:val="subscript"/>
              </w:rPr>
              <w:t>2</w:t>
            </w:r>
          </w:p>
        </w:tc>
        <w:tc>
          <w:tcPr>
            <w:tcW w:w="0" w:type="auto"/>
          </w:tcPr>
          <w:p w14:paraId="722196EF">
            <w:pPr>
              <w:jc w:val="center"/>
              <w:rPr>
                <w:rFonts w:hint="eastAsia" w:ascii="宋体"/>
                <w:sz w:val="21"/>
                <w:szCs w:val="21"/>
              </w:rPr>
            </w:pPr>
            <w:r>
              <w:rPr>
                <w:rFonts w:hint="eastAsia" w:ascii="宋体"/>
                <w:sz w:val="21"/>
                <w:szCs w:val="21"/>
              </w:rPr>
              <w:t>1</w:t>
            </w:r>
            <w:r>
              <w:rPr>
                <w:rFonts w:ascii="宋体"/>
                <w:sz w:val="21"/>
                <w:szCs w:val="21"/>
              </w:rPr>
              <w:t>.5</w:t>
            </w:r>
          </w:p>
        </w:tc>
        <w:tc>
          <w:tcPr>
            <w:tcW w:w="0" w:type="auto"/>
          </w:tcPr>
          <w:p w14:paraId="0DA8504E">
            <w:pPr>
              <w:jc w:val="center"/>
              <w:rPr>
                <w:rFonts w:hint="eastAsia" w:ascii="宋体"/>
                <w:sz w:val="21"/>
                <w:szCs w:val="21"/>
              </w:rPr>
            </w:pPr>
            <w:r>
              <w:rPr>
                <w:rFonts w:hint="eastAsia" w:ascii="宋体"/>
                <w:sz w:val="21"/>
                <w:szCs w:val="21"/>
              </w:rPr>
              <w:t>补水量</w:t>
            </w:r>
          </w:p>
        </w:tc>
      </w:tr>
      <w:tr w14:paraId="2A922C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9" w:hRule="atLeast"/>
          <w:jc w:val="center"/>
        </w:trPr>
        <w:tc>
          <w:tcPr>
            <w:tcW w:w="0" w:type="auto"/>
          </w:tcPr>
          <w:p w14:paraId="73D72E56">
            <w:pPr>
              <w:jc w:val="center"/>
              <w:rPr>
                <w:rFonts w:hint="eastAsia" w:ascii="宋体"/>
                <w:sz w:val="21"/>
                <w:szCs w:val="21"/>
              </w:rPr>
            </w:pPr>
            <w:r>
              <w:rPr>
                <w:rFonts w:hint="eastAsia" w:ascii="宋体"/>
                <w:sz w:val="21"/>
                <w:szCs w:val="21"/>
              </w:rPr>
              <w:t>4</w:t>
            </w:r>
          </w:p>
        </w:tc>
        <w:tc>
          <w:tcPr>
            <w:tcW w:w="0" w:type="auto"/>
          </w:tcPr>
          <w:p w14:paraId="21199E8B">
            <w:pPr>
              <w:jc w:val="center"/>
              <w:rPr>
                <w:rFonts w:hint="eastAsia" w:ascii="宋体"/>
                <w:sz w:val="21"/>
                <w:szCs w:val="21"/>
              </w:rPr>
            </w:pPr>
            <w:r>
              <w:rPr>
                <w:rFonts w:hint="eastAsia" w:ascii="宋体"/>
                <w:sz w:val="21"/>
                <w:szCs w:val="21"/>
              </w:rPr>
              <w:t>除盐水</w:t>
            </w:r>
          </w:p>
        </w:tc>
        <w:tc>
          <w:tcPr>
            <w:tcW w:w="0" w:type="auto"/>
          </w:tcPr>
          <w:p w14:paraId="6EE3F35D">
            <w:pPr>
              <w:jc w:val="center"/>
              <w:rPr>
                <w:rFonts w:hint="eastAsia" w:ascii="宋体"/>
                <w:sz w:val="21"/>
                <w:szCs w:val="21"/>
              </w:rPr>
            </w:pPr>
            <w:r>
              <w:rPr>
                <w:rFonts w:hint="eastAsia" w:ascii="宋体"/>
                <w:sz w:val="21"/>
                <w:szCs w:val="21"/>
              </w:rPr>
              <w:t>t</w:t>
            </w:r>
            <w:r>
              <w:rPr>
                <w:rFonts w:ascii="宋体"/>
                <w:sz w:val="21"/>
                <w:szCs w:val="21"/>
              </w:rPr>
              <w:t>/h</w:t>
            </w:r>
          </w:p>
        </w:tc>
        <w:tc>
          <w:tcPr>
            <w:tcW w:w="0" w:type="auto"/>
          </w:tcPr>
          <w:p w14:paraId="39FC31D1">
            <w:pPr>
              <w:jc w:val="center"/>
              <w:rPr>
                <w:rFonts w:hint="eastAsia" w:ascii="宋体"/>
                <w:sz w:val="21"/>
                <w:szCs w:val="21"/>
              </w:rPr>
            </w:pPr>
            <w:r>
              <w:rPr>
                <w:rFonts w:hint="eastAsia" w:ascii="宋体"/>
                <w:sz w:val="21"/>
                <w:szCs w:val="21"/>
              </w:rPr>
              <w:t>4</w:t>
            </w:r>
            <w:r>
              <w:rPr>
                <w:rFonts w:ascii="宋体"/>
                <w:sz w:val="21"/>
                <w:szCs w:val="21"/>
              </w:rPr>
              <w:t>.5</w:t>
            </w:r>
          </w:p>
        </w:tc>
        <w:tc>
          <w:tcPr>
            <w:tcW w:w="0" w:type="auto"/>
          </w:tcPr>
          <w:p w14:paraId="1B1002A8">
            <w:pPr>
              <w:jc w:val="center"/>
              <w:rPr>
                <w:rFonts w:hint="eastAsia" w:ascii="宋体"/>
                <w:sz w:val="21"/>
                <w:szCs w:val="21"/>
              </w:rPr>
            </w:pPr>
            <w:r>
              <w:rPr>
                <w:rFonts w:hint="eastAsia" w:ascii="宋体"/>
                <w:sz w:val="21"/>
                <w:szCs w:val="21"/>
              </w:rPr>
              <w:t>补水、补液与节能系统用水</w:t>
            </w:r>
          </w:p>
        </w:tc>
      </w:tr>
      <w:tr w14:paraId="66AAF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 w:hRule="atLeast"/>
          <w:jc w:val="center"/>
        </w:trPr>
        <w:tc>
          <w:tcPr>
            <w:tcW w:w="0" w:type="auto"/>
          </w:tcPr>
          <w:p w14:paraId="470A922F">
            <w:pPr>
              <w:jc w:val="center"/>
              <w:rPr>
                <w:rFonts w:hint="eastAsia" w:ascii="宋体"/>
                <w:sz w:val="21"/>
                <w:szCs w:val="21"/>
              </w:rPr>
            </w:pPr>
            <w:r>
              <w:rPr>
                <w:rFonts w:hint="eastAsia" w:ascii="宋体"/>
                <w:sz w:val="21"/>
                <w:szCs w:val="21"/>
              </w:rPr>
              <w:t>5</w:t>
            </w:r>
          </w:p>
        </w:tc>
        <w:tc>
          <w:tcPr>
            <w:tcW w:w="0" w:type="auto"/>
          </w:tcPr>
          <w:p w14:paraId="7B96F1AF">
            <w:pPr>
              <w:jc w:val="center"/>
              <w:rPr>
                <w:rFonts w:hint="eastAsia" w:ascii="宋体"/>
                <w:sz w:val="21"/>
                <w:szCs w:val="21"/>
              </w:rPr>
            </w:pPr>
            <w:r>
              <w:rPr>
                <w:rFonts w:hint="eastAsia" w:ascii="宋体"/>
                <w:sz w:val="21"/>
                <w:szCs w:val="21"/>
              </w:rPr>
              <w:t>蒸汽凝结水（0</w:t>
            </w:r>
            <w:r>
              <w:rPr>
                <w:rFonts w:ascii="宋体"/>
                <w:sz w:val="21"/>
                <w:szCs w:val="21"/>
              </w:rPr>
              <w:t>.3M</w:t>
            </w:r>
            <w:r>
              <w:rPr>
                <w:rFonts w:hint="eastAsia" w:ascii="宋体"/>
                <w:sz w:val="21"/>
                <w:szCs w:val="21"/>
              </w:rPr>
              <w:t>pag）</w:t>
            </w:r>
          </w:p>
        </w:tc>
        <w:tc>
          <w:tcPr>
            <w:tcW w:w="0" w:type="auto"/>
          </w:tcPr>
          <w:p w14:paraId="68C2B3E4">
            <w:pPr>
              <w:jc w:val="center"/>
              <w:rPr>
                <w:rFonts w:hint="eastAsia" w:ascii="宋体"/>
                <w:sz w:val="21"/>
                <w:szCs w:val="21"/>
              </w:rPr>
            </w:pPr>
            <w:r>
              <w:rPr>
                <w:rFonts w:hint="eastAsia" w:ascii="宋体"/>
                <w:sz w:val="21"/>
                <w:szCs w:val="21"/>
              </w:rPr>
              <w:t>t</w:t>
            </w:r>
            <w:r>
              <w:rPr>
                <w:rFonts w:ascii="宋体"/>
                <w:sz w:val="21"/>
                <w:szCs w:val="21"/>
              </w:rPr>
              <w:t>/h</w:t>
            </w:r>
          </w:p>
        </w:tc>
        <w:tc>
          <w:tcPr>
            <w:tcW w:w="0" w:type="auto"/>
          </w:tcPr>
          <w:p w14:paraId="107C32A2">
            <w:pPr>
              <w:jc w:val="center"/>
              <w:rPr>
                <w:rFonts w:hint="eastAsia" w:ascii="宋体"/>
                <w:sz w:val="21"/>
                <w:szCs w:val="21"/>
              </w:rPr>
            </w:pPr>
            <w:r>
              <w:rPr>
                <w:rFonts w:hint="eastAsia" w:ascii="宋体"/>
                <w:sz w:val="21"/>
                <w:szCs w:val="21"/>
              </w:rPr>
              <w:t>1</w:t>
            </w:r>
            <w:r>
              <w:rPr>
                <w:rFonts w:ascii="宋体"/>
                <w:sz w:val="21"/>
                <w:szCs w:val="21"/>
              </w:rPr>
              <w:t>.12</w:t>
            </w:r>
          </w:p>
        </w:tc>
        <w:tc>
          <w:tcPr>
            <w:tcW w:w="0" w:type="auto"/>
          </w:tcPr>
          <w:p w14:paraId="07AF2D8C">
            <w:pPr>
              <w:jc w:val="center"/>
              <w:rPr>
                <w:rFonts w:hint="eastAsia" w:ascii="宋体"/>
                <w:sz w:val="21"/>
                <w:szCs w:val="21"/>
              </w:rPr>
            </w:pPr>
            <w:r>
              <w:rPr>
                <w:rFonts w:hint="eastAsia" w:ascii="宋体"/>
                <w:sz w:val="21"/>
                <w:szCs w:val="21"/>
              </w:rPr>
              <w:t>连续（正常运行）</w:t>
            </w:r>
          </w:p>
        </w:tc>
      </w:tr>
    </w:tbl>
    <w:p w14:paraId="5089D260">
      <w:pPr>
        <w:ind w:firstLine="420" w:firstLineChars="200"/>
      </w:pPr>
      <w:r>
        <w:rPr>
          <w:rFonts w:hint="eastAsia"/>
        </w:rPr>
        <w:t>查阅《化学化工物性数据手册》（2002年，化学工业出版社），可得蒸汽与凝结水热焓值，见表A.3。</w:t>
      </w:r>
    </w:p>
    <w:p w14:paraId="75A283CC">
      <w:pPr>
        <w:jc w:val="center"/>
        <w:rPr>
          <w:rFonts w:hint="eastAsia"/>
        </w:rPr>
      </w:pPr>
      <w:r>
        <w:rPr>
          <w:rFonts w:hint="eastAsia"/>
        </w:rPr>
        <w:t>表A.3 蒸汽与凝结水热焓值</w:t>
      </w:r>
    </w:p>
    <w:tbl>
      <w:tblPr>
        <w:tblStyle w:val="51"/>
        <w:tblW w:w="757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1"/>
        <w:gridCol w:w="4314"/>
        <w:gridCol w:w="931"/>
        <w:gridCol w:w="1394"/>
      </w:tblGrid>
      <w:tr w14:paraId="4CA1B7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jc w:val="center"/>
        </w:trPr>
        <w:tc>
          <w:tcPr>
            <w:tcW w:w="0" w:type="auto"/>
            <w:vAlign w:val="center"/>
          </w:tcPr>
          <w:p w14:paraId="5BA0F4B3">
            <w:pPr>
              <w:jc w:val="center"/>
              <w:rPr>
                <w:rFonts w:hint="eastAsia" w:ascii="宋体"/>
                <w:sz w:val="21"/>
                <w:szCs w:val="21"/>
              </w:rPr>
            </w:pPr>
            <w:r>
              <w:rPr>
                <w:rFonts w:hint="eastAsia" w:ascii="宋体"/>
                <w:sz w:val="21"/>
                <w:szCs w:val="21"/>
              </w:rPr>
              <w:t>序号</w:t>
            </w:r>
          </w:p>
        </w:tc>
        <w:tc>
          <w:tcPr>
            <w:tcW w:w="0" w:type="auto"/>
            <w:vAlign w:val="center"/>
          </w:tcPr>
          <w:p w14:paraId="48D84DDE">
            <w:pPr>
              <w:jc w:val="center"/>
              <w:rPr>
                <w:rFonts w:hint="eastAsia" w:ascii="宋体"/>
                <w:sz w:val="21"/>
                <w:szCs w:val="21"/>
              </w:rPr>
            </w:pPr>
            <w:r>
              <w:rPr>
                <w:rFonts w:hint="eastAsia" w:ascii="宋体"/>
                <w:sz w:val="21"/>
                <w:szCs w:val="21"/>
              </w:rPr>
              <w:t>项目</w:t>
            </w:r>
          </w:p>
        </w:tc>
        <w:tc>
          <w:tcPr>
            <w:tcW w:w="0" w:type="auto"/>
            <w:vAlign w:val="center"/>
          </w:tcPr>
          <w:p w14:paraId="2D302B7F">
            <w:pPr>
              <w:jc w:val="center"/>
              <w:rPr>
                <w:rFonts w:hint="eastAsia" w:ascii="宋体"/>
                <w:sz w:val="21"/>
                <w:szCs w:val="21"/>
              </w:rPr>
            </w:pPr>
            <w:r>
              <w:rPr>
                <w:rFonts w:hint="eastAsia" w:ascii="宋体"/>
                <w:sz w:val="21"/>
                <w:szCs w:val="21"/>
              </w:rPr>
              <w:t>单位</w:t>
            </w:r>
          </w:p>
        </w:tc>
        <w:tc>
          <w:tcPr>
            <w:tcW w:w="0" w:type="auto"/>
            <w:vAlign w:val="center"/>
          </w:tcPr>
          <w:p w14:paraId="2C01658E">
            <w:pPr>
              <w:jc w:val="center"/>
              <w:rPr>
                <w:rFonts w:hint="eastAsia" w:ascii="宋体"/>
                <w:sz w:val="21"/>
                <w:szCs w:val="21"/>
              </w:rPr>
            </w:pPr>
            <w:r>
              <w:rPr>
                <w:rFonts w:hint="eastAsia" w:ascii="宋体"/>
                <w:sz w:val="21"/>
                <w:szCs w:val="21"/>
              </w:rPr>
              <w:t>数值</w:t>
            </w:r>
          </w:p>
        </w:tc>
      </w:tr>
      <w:tr w14:paraId="4F87DB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jc w:val="center"/>
        </w:trPr>
        <w:tc>
          <w:tcPr>
            <w:tcW w:w="0" w:type="auto"/>
            <w:vAlign w:val="center"/>
          </w:tcPr>
          <w:p w14:paraId="7315FF2D">
            <w:pPr>
              <w:jc w:val="center"/>
              <w:rPr>
                <w:rFonts w:hint="eastAsia" w:ascii="宋体"/>
                <w:sz w:val="21"/>
                <w:szCs w:val="21"/>
              </w:rPr>
            </w:pPr>
            <w:r>
              <w:rPr>
                <w:rFonts w:hint="eastAsia" w:ascii="宋体"/>
                <w:sz w:val="21"/>
                <w:szCs w:val="21"/>
              </w:rPr>
              <w:t>1</w:t>
            </w:r>
          </w:p>
        </w:tc>
        <w:tc>
          <w:tcPr>
            <w:tcW w:w="0" w:type="auto"/>
            <w:vAlign w:val="center"/>
          </w:tcPr>
          <w:p w14:paraId="2DEB6646">
            <w:pPr>
              <w:jc w:val="center"/>
              <w:rPr>
                <w:rFonts w:hint="eastAsia" w:ascii="宋体"/>
                <w:sz w:val="21"/>
                <w:szCs w:val="21"/>
              </w:rPr>
            </w:pPr>
            <w:r>
              <w:rPr>
                <w:rFonts w:hint="eastAsia" w:ascii="宋体"/>
                <w:sz w:val="21"/>
                <w:szCs w:val="21"/>
              </w:rPr>
              <w:t>蒸汽(0.3 MPag)热焓值</w:t>
            </w:r>
          </w:p>
        </w:tc>
        <w:tc>
          <w:tcPr>
            <w:tcW w:w="0" w:type="auto"/>
            <w:vAlign w:val="center"/>
          </w:tcPr>
          <w:p w14:paraId="3ABF47E6">
            <w:pPr>
              <w:jc w:val="center"/>
              <w:rPr>
                <w:rFonts w:hint="eastAsia" w:ascii="宋体"/>
                <w:sz w:val="21"/>
                <w:szCs w:val="21"/>
              </w:rPr>
            </w:pPr>
            <w:r>
              <w:rPr>
                <w:rFonts w:hint="eastAsia" w:ascii="宋体"/>
                <w:sz w:val="21"/>
                <w:szCs w:val="21"/>
              </w:rPr>
              <w:t>M</w:t>
            </w:r>
            <w:r>
              <w:rPr>
                <w:rFonts w:ascii="宋体"/>
                <w:sz w:val="21"/>
                <w:szCs w:val="21"/>
              </w:rPr>
              <w:t>J/t</w:t>
            </w:r>
          </w:p>
        </w:tc>
        <w:tc>
          <w:tcPr>
            <w:tcW w:w="0" w:type="auto"/>
            <w:vAlign w:val="center"/>
          </w:tcPr>
          <w:p w14:paraId="57360C6F">
            <w:pPr>
              <w:jc w:val="center"/>
              <w:rPr>
                <w:rFonts w:hint="eastAsia" w:ascii="宋体"/>
                <w:sz w:val="21"/>
                <w:szCs w:val="21"/>
              </w:rPr>
            </w:pPr>
            <w:r>
              <w:rPr>
                <w:rFonts w:hint="eastAsia" w:ascii="宋体"/>
                <w:sz w:val="21"/>
                <w:szCs w:val="21"/>
              </w:rPr>
              <w:t>2</w:t>
            </w:r>
            <w:r>
              <w:rPr>
                <w:rFonts w:ascii="宋体"/>
                <w:sz w:val="21"/>
                <w:szCs w:val="21"/>
              </w:rPr>
              <w:t>738.06</w:t>
            </w:r>
          </w:p>
        </w:tc>
      </w:tr>
      <w:tr w14:paraId="7B62FD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6" w:hRule="atLeast"/>
          <w:jc w:val="center"/>
        </w:trPr>
        <w:tc>
          <w:tcPr>
            <w:tcW w:w="0" w:type="auto"/>
            <w:vAlign w:val="center"/>
          </w:tcPr>
          <w:p w14:paraId="2A0C4E77">
            <w:pPr>
              <w:jc w:val="center"/>
              <w:rPr>
                <w:rFonts w:hint="eastAsia" w:ascii="宋体"/>
                <w:sz w:val="21"/>
                <w:szCs w:val="21"/>
              </w:rPr>
            </w:pPr>
            <w:r>
              <w:rPr>
                <w:rFonts w:hint="eastAsia" w:ascii="宋体"/>
                <w:sz w:val="21"/>
                <w:szCs w:val="21"/>
              </w:rPr>
              <w:t>2</w:t>
            </w:r>
          </w:p>
        </w:tc>
        <w:tc>
          <w:tcPr>
            <w:tcW w:w="0" w:type="auto"/>
            <w:vAlign w:val="center"/>
          </w:tcPr>
          <w:p w14:paraId="352AF662">
            <w:pPr>
              <w:jc w:val="center"/>
              <w:rPr>
                <w:rFonts w:hint="eastAsia" w:ascii="宋体"/>
                <w:sz w:val="21"/>
                <w:szCs w:val="21"/>
              </w:rPr>
            </w:pPr>
            <w:r>
              <w:rPr>
                <w:rFonts w:hint="eastAsia" w:ascii="宋体"/>
                <w:sz w:val="21"/>
                <w:szCs w:val="21"/>
              </w:rPr>
              <w:t>蒸汽凝结水(</w:t>
            </w:r>
            <w:r>
              <w:rPr>
                <w:rFonts w:ascii="宋体"/>
                <w:sz w:val="21"/>
                <w:szCs w:val="21"/>
              </w:rPr>
              <w:t>0.3</w:t>
            </w:r>
            <w:r>
              <w:rPr>
                <w:rFonts w:hint="eastAsia" w:ascii="宋体"/>
                <w:sz w:val="21"/>
                <w:szCs w:val="21"/>
              </w:rPr>
              <w:t xml:space="preserve"> MPag)热焓值</w:t>
            </w:r>
          </w:p>
        </w:tc>
        <w:tc>
          <w:tcPr>
            <w:tcW w:w="0" w:type="auto"/>
            <w:vAlign w:val="center"/>
          </w:tcPr>
          <w:p w14:paraId="4C3AEE8F">
            <w:pPr>
              <w:jc w:val="center"/>
              <w:rPr>
                <w:rFonts w:hint="eastAsia" w:ascii="宋体"/>
                <w:sz w:val="21"/>
                <w:szCs w:val="21"/>
              </w:rPr>
            </w:pPr>
            <w:r>
              <w:rPr>
                <w:rFonts w:hint="eastAsia" w:ascii="宋体"/>
                <w:sz w:val="21"/>
                <w:szCs w:val="21"/>
              </w:rPr>
              <w:t>M</w:t>
            </w:r>
            <w:r>
              <w:rPr>
                <w:rFonts w:ascii="宋体"/>
                <w:sz w:val="21"/>
                <w:szCs w:val="21"/>
              </w:rPr>
              <w:t>J/t</w:t>
            </w:r>
          </w:p>
        </w:tc>
        <w:tc>
          <w:tcPr>
            <w:tcW w:w="0" w:type="auto"/>
            <w:vAlign w:val="center"/>
          </w:tcPr>
          <w:p w14:paraId="0BDEBF71">
            <w:pPr>
              <w:jc w:val="center"/>
              <w:rPr>
                <w:rFonts w:hint="eastAsia" w:ascii="宋体"/>
                <w:sz w:val="21"/>
                <w:szCs w:val="21"/>
              </w:rPr>
            </w:pPr>
            <w:r>
              <w:rPr>
                <w:rFonts w:hint="eastAsia" w:ascii="宋体"/>
                <w:sz w:val="21"/>
                <w:szCs w:val="21"/>
              </w:rPr>
              <w:t>6</w:t>
            </w:r>
            <w:r>
              <w:rPr>
                <w:rFonts w:ascii="宋体"/>
                <w:sz w:val="21"/>
                <w:szCs w:val="21"/>
              </w:rPr>
              <w:t>04.72</w:t>
            </w:r>
          </w:p>
        </w:tc>
      </w:tr>
      <w:tr w14:paraId="77CE84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jc w:val="center"/>
        </w:trPr>
        <w:tc>
          <w:tcPr>
            <w:tcW w:w="0" w:type="auto"/>
            <w:vAlign w:val="center"/>
          </w:tcPr>
          <w:p w14:paraId="1F98CC13">
            <w:pPr>
              <w:jc w:val="center"/>
              <w:rPr>
                <w:rFonts w:hint="eastAsia" w:ascii="宋体"/>
                <w:sz w:val="21"/>
                <w:szCs w:val="21"/>
              </w:rPr>
            </w:pPr>
            <w:r>
              <w:rPr>
                <w:rFonts w:hint="eastAsia" w:ascii="宋体"/>
                <w:sz w:val="21"/>
                <w:szCs w:val="21"/>
              </w:rPr>
              <w:t>3</w:t>
            </w:r>
          </w:p>
        </w:tc>
        <w:tc>
          <w:tcPr>
            <w:tcW w:w="0" w:type="auto"/>
            <w:vAlign w:val="center"/>
          </w:tcPr>
          <w:p w14:paraId="43D9A515">
            <w:pPr>
              <w:jc w:val="center"/>
              <w:rPr>
                <w:rFonts w:hint="eastAsia" w:ascii="宋体"/>
                <w:sz w:val="21"/>
                <w:szCs w:val="21"/>
              </w:rPr>
            </w:pPr>
            <w:r>
              <w:rPr>
                <w:rFonts w:hint="eastAsia" w:ascii="宋体"/>
                <w:sz w:val="21"/>
                <w:szCs w:val="21"/>
              </w:rPr>
              <w:t>蒸汽(0</w:t>
            </w:r>
            <w:r>
              <w:rPr>
                <w:rFonts w:ascii="宋体"/>
                <w:sz w:val="21"/>
                <w:szCs w:val="21"/>
              </w:rPr>
              <w:t>.3</w:t>
            </w:r>
            <w:r>
              <w:rPr>
                <w:rFonts w:hint="eastAsia" w:ascii="宋体"/>
                <w:sz w:val="21"/>
                <w:szCs w:val="21"/>
              </w:rPr>
              <w:t xml:space="preserve"> MPag)潜热</w:t>
            </w:r>
          </w:p>
        </w:tc>
        <w:tc>
          <w:tcPr>
            <w:tcW w:w="0" w:type="auto"/>
            <w:vAlign w:val="center"/>
          </w:tcPr>
          <w:p w14:paraId="0F9EE89B">
            <w:pPr>
              <w:jc w:val="center"/>
              <w:rPr>
                <w:rFonts w:hint="eastAsia" w:ascii="宋体"/>
                <w:sz w:val="21"/>
                <w:szCs w:val="21"/>
              </w:rPr>
            </w:pPr>
            <w:r>
              <w:rPr>
                <w:rFonts w:hint="eastAsia" w:ascii="宋体"/>
                <w:sz w:val="21"/>
                <w:szCs w:val="21"/>
              </w:rPr>
              <w:t>M</w:t>
            </w:r>
            <w:r>
              <w:rPr>
                <w:rFonts w:ascii="宋体"/>
                <w:sz w:val="21"/>
                <w:szCs w:val="21"/>
              </w:rPr>
              <w:t>J/t</w:t>
            </w:r>
          </w:p>
        </w:tc>
        <w:tc>
          <w:tcPr>
            <w:tcW w:w="0" w:type="auto"/>
            <w:vAlign w:val="center"/>
          </w:tcPr>
          <w:p w14:paraId="5E4E2AD8">
            <w:pPr>
              <w:jc w:val="center"/>
              <w:rPr>
                <w:rFonts w:hint="eastAsia" w:ascii="宋体"/>
                <w:sz w:val="21"/>
                <w:szCs w:val="21"/>
              </w:rPr>
            </w:pPr>
            <w:r>
              <w:rPr>
                <w:rFonts w:hint="eastAsia" w:ascii="宋体"/>
                <w:sz w:val="21"/>
                <w:szCs w:val="21"/>
              </w:rPr>
              <w:t>2</w:t>
            </w:r>
            <w:r>
              <w:rPr>
                <w:rFonts w:ascii="宋体"/>
                <w:sz w:val="21"/>
                <w:szCs w:val="21"/>
              </w:rPr>
              <w:t>133.34</w:t>
            </w:r>
          </w:p>
        </w:tc>
      </w:tr>
    </w:tbl>
    <w:p w14:paraId="291F0E76">
      <w:pPr>
        <w:ind w:firstLine="420" w:firstLineChars="200"/>
      </w:pPr>
      <w:r>
        <w:rPr>
          <w:rFonts w:hint="eastAsia"/>
        </w:rPr>
        <w:t>依据公式A.1、A.2和表A.1、A.2和A.3中的数据，计算得到结果见表A.4。</w:t>
      </w:r>
    </w:p>
    <w:p w14:paraId="2079A54B">
      <w:pPr>
        <w:jc w:val="center"/>
      </w:pPr>
      <w:r>
        <w:rPr>
          <w:rFonts w:hint="eastAsia"/>
        </w:rPr>
        <w:t>表A.4 能耗计算表</w:t>
      </w:r>
    </w:p>
    <w:tbl>
      <w:tblPr>
        <w:tblStyle w:val="51"/>
        <w:tblW w:w="0" w:type="auto"/>
        <w:tblInd w:w="4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62"/>
        <w:gridCol w:w="2130"/>
        <w:gridCol w:w="2131"/>
        <w:gridCol w:w="1637"/>
      </w:tblGrid>
      <w:tr w14:paraId="684766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2" w:type="dxa"/>
          </w:tcPr>
          <w:p w14:paraId="1F35844B">
            <w:pPr>
              <w:jc w:val="center"/>
              <w:rPr>
                <w:rFonts w:hint="eastAsia" w:ascii="宋体"/>
                <w:sz w:val="21"/>
                <w:szCs w:val="21"/>
              </w:rPr>
            </w:pPr>
            <w:r>
              <w:rPr>
                <w:rFonts w:hint="eastAsia" w:ascii="宋体"/>
                <w:sz w:val="21"/>
                <w:szCs w:val="21"/>
              </w:rPr>
              <w:t>序号</w:t>
            </w:r>
          </w:p>
        </w:tc>
        <w:tc>
          <w:tcPr>
            <w:tcW w:w="2130" w:type="dxa"/>
          </w:tcPr>
          <w:p w14:paraId="6320E911">
            <w:pPr>
              <w:jc w:val="center"/>
              <w:rPr>
                <w:rFonts w:hint="eastAsia" w:ascii="宋体"/>
                <w:sz w:val="21"/>
                <w:szCs w:val="21"/>
              </w:rPr>
            </w:pPr>
            <w:r>
              <w:rPr>
                <w:rFonts w:hint="eastAsia" w:ascii="宋体"/>
                <w:sz w:val="21"/>
                <w:szCs w:val="21"/>
              </w:rPr>
              <w:t>项目</w:t>
            </w:r>
          </w:p>
        </w:tc>
        <w:tc>
          <w:tcPr>
            <w:tcW w:w="2131" w:type="dxa"/>
          </w:tcPr>
          <w:p w14:paraId="009A1762">
            <w:pPr>
              <w:jc w:val="center"/>
              <w:rPr>
                <w:rFonts w:hint="eastAsia" w:ascii="宋体"/>
                <w:sz w:val="21"/>
                <w:szCs w:val="21"/>
              </w:rPr>
            </w:pPr>
            <w:r>
              <w:rPr>
                <w:rFonts w:hint="eastAsia" w:ascii="宋体"/>
                <w:sz w:val="21"/>
                <w:szCs w:val="21"/>
              </w:rPr>
              <w:t>单位</w:t>
            </w:r>
          </w:p>
        </w:tc>
        <w:tc>
          <w:tcPr>
            <w:tcW w:w="1637" w:type="dxa"/>
          </w:tcPr>
          <w:p w14:paraId="327FB4CA">
            <w:pPr>
              <w:jc w:val="center"/>
              <w:rPr>
                <w:rFonts w:hint="eastAsia" w:ascii="宋体"/>
                <w:sz w:val="21"/>
                <w:szCs w:val="21"/>
              </w:rPr>
            </w:pPr>
            <w:r>
              <w:rPr>
                <w:rFonts w:hint="eastAsia" w:ascii="宋体"/>
                <w:sz w:val="21"/>
                <w:szCs w:val="21"/>
              </w:rPr>
              <w:t>数值</w:t>
            </w:r>
          </w:p>
        </w:tc>
      </w:tr>
      <w:tr w14:paraId="322B10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2" w:type="dxa"/>
          </w:tcPr>
          <w:p w14:paraId="16464FA4">
            <w:pPr>
              <w:jc w:val="center"/>
              <w:rPr>
                <w:rFonts w:hint="eastAsia" w:ascii="宋体"/>
                <w:sz w:val="21"/>
                <w:szCs w:val="21"/>
              </w:rPr>
            </w:pPr>
            <w:r>
              <w:rPr>
                <w:rFonts w:hint="eastAsia" w:ascii="宋体"/>
                <w:sz w:val="21"/>
                <w:szCs w:val="21"/>
              </w:rPr>
              <w:t>1</w:t>
            </w:r>
          </w:p>
        </w:tc>
        <w:tc>
          <w:tcPr>
            <w:tcW w:w="2130" w:type="dxa"/>
          </w:tcPr>
          <w:p w14:paraId="2269F509">
            <w:pPr>
              <w:jc w:val="center"/>
              <w:rPr>
                <w:rFonts w:hint="eastAsia" w:ascii="宋体"/>
                <w:i/>
                <w:iCs/>
                <w:sz w:val="21"/>
                <w:szCs w:val="21"/>
              </w:rPr>
            </w:pPr>
            <w:r>
              <w:rPr>
                <w:rFonts w:hint="eastAsia" w:ascii="宋体"/>
                <w:i/>
                <w:iCs/>
                <w:sz w:val="21"/>
                <w:szCs w:val="21"/>
              </w:rPr>
              <w:t>E</w:t>
            </w:r>
            <w:r>
              <w:rPr>
                <w:rFonts w:hint="eastAsia" w:ascii="宋体"/>
                <w:i/>
                <w:iCs/>
                <w:sz w:val="21"/>
                <w:szCs w:val="21"/>
                <w:vertAlign w:val="subscript"/>
              </w:rPr>
              <w:t>r</w:t>
            </w:r>
          </w:p>
        </w:tc>
        <w:tc>
          <w:tcPr>
            <w:tcW w:w="2131" w:type="dxa"/>
          </w:tcPr>
          <w:p w14:paraId="55EA256C">
            <w:pPr>
              <w:jc w:val="center"/>
              <w:rPr>
                <w:rFonts w:hint="eastAsia" w:ascii="宋体"/>
                <w:sz w:val="21"/>
                <w:szCs w:val="21"/>
              </w:rPr>
            </w:pPr>
            <w:r>
              <w:rPr>
                <w:rFonts w:hint="eastAsia" w:ascii="宋体"/>
                <w:sz w:val="21"/>
                <w:szCs w:val="21"/>
              </w:rPr>
              <w:t>G</w:t>
            </w:r>
            <w:r>
              <w:rPr>
                <w:rFonts w:ascii="宋体"/>
                <w:sz w:val="21"/>
                <w:szCs w:val="21"/>
              </w:rPr>
              <w:t>J/tCO</w:t>
            </w:r>
            <w:r>
              <w:rPr>
                <w:rFonts w:ascii="宋体"/>
                <w:sz w:val="21"/>
                <w:szCs w:val="21"/>
                <w:vertAlign w:val="subscript"/>
              </w:rPr>
              <w:t>2</w:t>
            </w:r>
          </w:p>
        </w:tc>
        <w:tc>
          <w:tcPr>
            <w:tcW w:w="1637" w:type="dxa"/>
          </w:tcPr>
          <w:p w14:paraId="12AA8132">
            <w:pPr>
              <w:jc w:val="center"/>
              <w:rPr>
                <w:rFonts w:hint="eastAsia" w:ascii="宋体"/>
                <w:sz w:val="21"/>
                <w:szCs w:val="21"/>
              </w:rPr>
            </w:pPr>
            <w:r>
              <w:rPr>
                <w:rFonts w:hint="eastAsia" w:ascii="宋体"/>
                <w:sz w:val="21"/>
                <w:szCs w:val="21"/>
              </w:rPr>
              <w:t>2</w:t>
            </w:r>
            <w:r>
              <w:rPr>
                <w:rFonts w:ascii="宋体"/>
                <w:sz w:val="21"/>
                <w:szCs w:val="21"/>
              </w:rPr>
              <w:t>.389</w:t>
            </w:r>
          </w:p>
        </w:tc>
      </w:tr>
      <w:tr w14:paraId="3E3AB2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2" w:type="dxa"/>
          </w:tcPr>
          <w:p w14:paraId="391CB868">
            <w:pPr>
              <w:jc w:val="center"/>
              <w:rPr>
                <w:rFonts w:hint="eastAsia" w:ascii="宋体"/>
                <w:sz w:val="21"/>
                <w:szCs w:val="21"/>
              </w:rPr>
            </w:pPr>
            <w:r>
              <w:rPr>
                <w:rFonts w:hint="eastAsia" w:ascii="宋体"/>
                <w:sz w:val="21"/>
                <w:szCs w:val="21"/>
              </w:rPr>
              <w:t>2</w:t>
            </w:r>
          </w:p>
        </w:tc>
        <w:tc>
          <w:tcPr>
            <w:tcW w:w="2130" w:type="dxa"/>
          </w:tcPr>
          <w:p w14:paraId="1DDB393D">
            <w:pPr>
              <w:jc w:val="center"/>
              <w:rPr>
                <w:rFonts w:hint="eastAsia" w:ascii="宋体"/>
                <w:i/>
                <w:iCs/>
                <w:sz w:val="21"/>
                <w:szCs w:val="21"/>
              </w:rPr>
            </w:pPr>
            <w:r>
              <w:rPr>
                <w:rFonts w:hint="eastAsia" w:ascii="宋体"/>
                <w:i/>
                <w:iCs/>
                <w:sz w:val="21"/>
                <w:szCs w:val="21"/>
              </w:rPr>
              <w:t>E</w:t>
            </w:r>
            <w:r>
              <w:rPr>
                <w:rFonts w:ascii="宋体"/>
                <w:i/>
                <w:iCs/>
                <w:sz w:val="21"/>
                <w:szCs w:val="21"/>
                <w:vertAlign w:val="subscript"/>
              </w:rPr>
              <w:t>Q</w:t>
            </w:r>
          </w:p>
        </w:tc>
        <w:tc>
          <w:tcPr>
            <w:tcW w:w="2131" w:type="dxa"/>
          </w:tcPr>
          <w:p w14:paraId="7E2F8943">
            <w:pPr>
              <w:jc w:val="center"/>
              <w:rPr>
                <w:rFonts w:hint="eastAsia" w:ascii="宋体"/>
                <w:sz w:val="21"/>
                <w:szCs w:val="21"/>
              </w:rPr>
            </w:pPr>
            <w:r>
              <w:rPr>
                <w:rFonts w:hint="eastAsia" w:ascii="宋体"/>
                <w:sz w:val="21"/>
                <w:szCs w:val="21"/>
              </w:rPr>
              <w:t>G</w:t>
            </w:r>
            <w:r>
              <w:rPr>
                <w:rFonts w:ascii="宋体"/>
                <w:sz w:val="21"/>
                <w:szCs w:val="21"/>
              </w:rPr>
              <w:t>J/tCO</w:t>
            </w:r>
            <w:r>
              <w:rPr>
                <w:rFonts w:ascii="宋体"/>
                <w:sz w:val="21"/>
                <w:szCs w:val="21"/>
                <w:vertAlign w:val="subscript"/>
              </w:rPr>
              <w:t>2</w:t>
            </w:r>
          </w:p>
        </w:tc>
        <w:tc>
          <w:tcPr>
            <w:tcW w:w="1637" w:type="dxa"/>
          </w:tcPr>
          <w:p w14:paraId="00B1C0B6">
            <w:pPr>
              <w:jc w:val="center"/>
              <w:rPr>
                <w:rFonts w:hint="eastAsia" w:ascii="宋体"/>
                <w:sz w:val="21"/>
                <w:szCs w:val="21"/>
              </w:rPr>
            </w:pPr>
            <w:r>
              <w:rPr>
                <w:rFonts w:hint="eastAsia" w:ascii="宋体"/>
                <w:sz w:val="21"/>
                <w:szCs w:val="21"/>
              </w:rPr>
              <w:t>0</w:t>
            </w:r>
            <w:r>
              <w:rPr>
                <w:rFonts w:ascii="宋体"/>
                <w:sz w:val="21"/>
                <w:szCs w:val="21"/>
              </w:rPr>
              <w:t>.875</w:t>
            </w:r>
          </w:p>
        </w:tc>
      </w:tr>
      <w:tr w14:paraId="5BFDD0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2" w:type="dxa"/>
          </w:tcPr>
          <w:p w14:paraId="6CEC1987">
            <w:pPr>
              <w:jc w:val="center"/>
              <w:rPr>
                <w:rFonts w:hint="eastAsia" w:ascii="宋体"/>
                <w:sz w:val="21"/>
                <w:szCs w:val="21"/>
              </w:rPr>
            </w:pPr>
            <w:r>
              <w:rPr>
                <w:rFonts w:hint="eastAsia" w:ascii="宋体"/>
                <w:sz w:val="21"/>
                <w:szCs w:val="21"/>
              </w:rPr>
              <w:t>3</w:t>
            </w:r>
          </w:p>
        </w:tc>
        <w:tc>
          <w:tcPr>
            <w:tcW w:w="2130" w:type="dxa"/>
          </w:tcPr>
          <w:p w14:paraId="389C4E86">
            <w:pPr>
              <w:jc w:val="center"/>
              <w:rPr>
                <w:rFonts w:hint="eastAsia" w:ascii="宋体"/>
                <w:i/>
                <w:iCs/>
                <w:sz w:val="21"/>
                <w:szCs w:val="21"/>
              </w:rPr>
            </w:pPr>
            <w:r>
              <w:rPr>
                <w:rFonts w:hint="eastAsia" w:ascii="宋体"/>
                <w:i/>
                <w:iCs/>
                <w:sz w:val="21"/>
                <w:szCs w:val="21"/>
              </w:rPr>
              <w:t>E</w:t>
            </w:r>
            <w:r>
              <w:rPr>
                <w:rFonts w:ascii="宋体"/>
                <w:i/>
                <w:iCs/>
                <w:sz w:val="21"/>
                <w:szCs w:val="21"/>
                <w:vertAlign w:val="subscript"/>
              </w:rPr>
              <w:t>w</w:t>
            </w:r>
          </w:p>
        </w:tc>
        <w:tc>
          <w:tcPr>
            <w:tcW w:w="2131" w:type="dxa"/>
          </w:tcPr>
          <w:p w14:paraId="5F7D3588">
            <w:pPr>
              <w:jc w:val="center"/>
              <w:rPr>
                <w:rFonts w:hint="eastAsia" w:ascii="宋体"/>
                <w:sz w:val="21"/>
                <w:szCs w:val="21"/>
              </w:rPr>
            </w:pPr>
            <w:r>
              <w:rPr>
                <w:rFonts w:hint="eastAsia" w:ascii="宋体"/>
                <w:sz w:val="21"/>
                <w:szCs w:val="21"/>
              </w:rPr>
              <w:t>G</w:t>
            </w:r>
            <w:r>
              <w:rPr>
                <w:rFonts w:ascii="宋体"/>
                <w:sz w:val="21"/>
                <w:szCs w:val="21"/>
              </w:rPr>
              <w:t>J/tCO</w:t>
            </w:r>
            <w:r>
              <w:rPr>
                <w:rFonts w:ascii="宋体"/>
                <w:sz w:val="21"/>
                <w:szCs w:val="21"/>
                <w:vertAlign w:val="subscript"/>
              </w:rPr>
              <w:t>2</w:t>
            </w:r>
          </w:p>
        </w:tc>
        <w:tc>
          <w:tcPr>
            <w:tcW w:w="1637" w:type="dxa"/>
          </w:tcPr>
          <w:p w14:paraId="617B8DDA">
            <w:pPr>
              <w:jc w:val="center"/>
              <w:rPr>
                <w:rFonts w:hint="eastAsia" w:ascii="宋体"/>
                <w:sz w:val="21"/>
                <w:szCs w:val="21"/>
              </w:rPr>
            </w:pPr>
            <w:r>
              <w:rPr>
                <w:rFonts w:hint="eastAsia" w:ascii="宋体"/>
                <w:sz w:val="21"/>
                <w:szCs w:val="21"/>
              </w:rPr>
              <w:t>0</w:t>
            </w:r>
            <w:r>
              <w:rPr>
                <w:rFonts w:ascii="宋体"/>
                <w:sz w:val="21"/>
                <w:szCs w:val="21"/>
              </w:rPr>
              <w:t>.188</w:t>
            </w:r>
          </w:p>
        </w:tc>
      </w:tr>
      <w:tr w14:paraId="429CBE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2" w:type="dxa"/>
          </w:tcPr>
          <w:p w14:paraId="3327D1A5">
            <w:pPr>
              <w:jc w:val="center"/>
              <w:rPr>
                <w:rFonts w:hint="eastAsia" w:ascii="宋体"/>
                <w:sz w:val="21"/>
                <w:szCs w:val="21"/>
              </w:rPr>
            </w:pPr>
            <w:r>
              <w:rPr>
                <w:rFonts w:hint="eastAsia" w:ascii="宋体"/>
                <w:sz w:val="21"/>
                <w:szCs w:val="21"/>
              </w:rPr>
              <w:t>4</w:t>
            </w:r>
          </w:p>
        </w:tc>
        <w:tc>
          <w:tcPr>
            <w:tcW w:w="2130" w:type="dxa"/>
          </w:tcPr>
          <w:p w14:paraId="19A2807C">
            <w:pPr>
              <w:jc w:val="center"/>
              <w:rPr>
                <w:rFonts w:hint="eastAsia" w:ascii="宋体"/>
                <w:i/>
                <w:iCs/>
                <w:sz w:val="21"/>
                <w:szCs w:val="21"/>
              </w:rPr>
            </w:pPr>
            <w:r>
              <w:rPr>
                <w:rFonts w:hint="eastAsia" w:ascii="宋体"/>
                <w:i/>
                <w:iCs/>
                <w:sz w:val="21"/>
                <w:szCs w:val="21"/>
              </w:rPr>
              <w:t>E</w:t>
            </w:r>
            <w:r>
              <w:rPr>
                <w:rFonts w:ascii="宋体"/>
                <w:i/>
                <w:iCs/>
                <w:sz w:val="21"/>
                <w:szCs w:val="21"/>
                <w:vertAlign w:val="subscript"/>
              </w:rPr>
              <w:t>z</w:t>
            </w:r>
          </w:p>
        </w:tc>
        <w:tc>
          <w:tcPr>
            <w:tcW w:w="2131" w:type="dxa"/>
          </w:tcPr>
          <w:p w14:paraId="0A27CAD9">
            <w:pPr>
              <w:jc w:val="center"/>
              <w:rPr>
                <w:rFonts w:hint="eastAsia" w:ascii="宋体"/>
                <w:sz w:val="21"/>
                <w:szCs w:val="21"/>
              </w:rPr>
            </w:pPr>
            <w:r>
              <w:rPr>
                <w:rFonts w:hint="eastAsia" w:ascii="宋体"/>
                <w:sz w:val="21"/>
                <w:szCs w:val="21"/>
              </w:rPr>
              <w:t>G</w:t>
            </w:r>
            <w:r>
              <w:rPr>
                <w:rFonts w:ascii="宋体"/>
                <w:sz w:val="21"/>
                <w:szCs w:val="21"/>
              </w:rPr>
              <w:t>J/tCO</w:t>
            </w:r>
            <w:r>
              <w:rPr>
                <w:rFonts w:ascii="宋体"/>
                <w:sz w:val="21"/>
                <w:szCs w:val="21"/>
                <w:vertAlign w:val="subscript"/>
              </w:rPr>
              <w:t>2</w:t>
            </w:r>
          </w:p>
        </w:tc>
        <w:tc>
          <w:tcPr>
            <w:tcW w:w="1637" w:type="dxa"/>
          </w:tcPr>
          <w:p w14:paraId="339DAA58">
            <w:pPr>
              <w:jc w:val="center"/>
              <w:rPr>
                <w:rFonts w:hint="eastAsia" w:ascii="宋体"/>
                <w:sz w:val="21"/>
                <w:szCs w:val="21"/>
              </w:rPr>
            </w:pPr>
            <w:r>
              <w:rPr>
                <w:rFonts w:hint="eastAsia" w:ascii="宋体"/>
                <w:sz w:val="21"/>
                <w:szCs w:val="21"/>
              </w:rPr>
              <w:t>3</w:t>
            </w:r>
            <w:r>
              <w:rPr>
                <w:rFonts w:ascii="宋体"/>
                <w:sz w:val="21"/>
                <w:szCs w:val="21"/>
              </w:rPr>
              <w:t>.450</w:t>
            </w:r>
          </w:p>
        </w:tc>
      </w:tr>
    </w:tbl>
    <w:p w14:paraId="5787A1AA">
      <w:pPr>
        <w:jc w:val="center"/>
        <w:rPr>
          <w:rFonts w:hint="eastAsia"/>
        </w:rPr>
      </w:pPr>
    </w:p>
    <w:sectPr>
      <w:pgSz w:w="11906" w:h="16838"/>
      <w:pgMar w:top="1440" w:right="1800" w:bottom="1440" w:left="1800" w:header="851" w:footer="992"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汉仪中宋简">
    <w:altName w:val="微软雅黑"/>
    <w:panose1 w:val="02010600000101010101"/>
    <w:charset w:val="86"/>
    <w:family w:val="auto"/>
    <w:pitch w:val="default"/>
    <w:sig w:usb0="00000000" w:usb1="00000000" w:usb2="00000012" w:usb3="00000000" w:csb0="00040000" w:csb1="00000000"/>
  </w:font>
  <w:font w:name="微软雅黑">
    <w:panose1 w:val="020B0503020204020204"/>
    <w:charset w:val="86"/>
    <w:family w:val="auto"/>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9E1E4">
    <w:pPr>
      <w:pStyle w:val="31"/>
      <w:framePr w:wrap="around" w:vAnchor="text" w:hAnchor="margin" w:xAlign="outside" w:y="1"/>
      <w:ind w:left="420" w:firstLine="360"/>
      <w:rPr>
        <w:rStyle w:val="55"/>
      </w:rPr>
    </w:pPr>
    <w:r>
      <w:fldChar w:fldCharType="begin"/>
    </w:r>
    <w:r>
      <w:rPr>
        <w:rStyle w:val="55"/>
      </w:rPr>
      <w:instrText xml:space="preserve">PAGE  </w:instrText>
    </w:r>
    <w:r>
      <w:fldChar w:fldCharType="separate"/>
    </w:r>
    <w:r>
      <w:rPr>
        <w:rStyle w:val="55"/>
        <w:rFonts w:hint="eastAsia"/>
      </w:rPr>
      <w:t>５</w:t>
    </w:r>
    <w:r>
      <w:fldChar w:fldCharType="end"/>
    </w:r>
  </w:p>
  <w:p w14:paraId="4991A8CA">
    <w:pPr>
      <w:pStyle w:val="161"/>
      <w:ind w:right="360" w:firstLine="360"/>
      <w:rPr>
        <w:rStyle w:val="55"/>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2E982">
    <w:pPr>
      <w:pStyle w:val="31"/>
      <w:framePr w:wrap="around" w:vAnchor="text" w:hAnchor="margin" w:xAlign="outside" w:y="1"/>
      <w:ind w:left="420" w:firstLine="360"/>
      <w:rPr>
        <w:rStyle w:val="55"/>
      </w:rPr>
    </w:pPr>
    <w:r>
      <w:fldChar w:fldCharType="begin"/>
    </w:r>
    <w:r>
      <w:rPr>
        <w:rStyle w:val="55"/>
      </w:rPr>
      <w:instrText xml:space="preserve">PAGE  </w:instrText>
    </w:r>
    <w:r>
      <w:fldChar w:fldCharType="separate"/>
    </w:r>
    <w:r>
      <w:rPr>
        <w:rStyle w:val="55"/>
      </w:rPr>
      <w:t>6</w:t>
    </w:r>
    <w:r>
      <w:fldChar w:fldCharType="end"/>
    </w:r>
  </w:p>
  <w:p w14:paraId="0F850383">
    <w:pPr>
      <w:pStyle w:val="130"/>
      <w:ind w:right="360" w:firstLine="360"/>
      <w:rPr>
        <w:rStyle w:val="55"/>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1"/>
    <w:multiLevelType w:val="multilevel"/>
    <w:tmpl w:val="00000021"/>
    <w:lvl w:ilvl="0" w:tentative="0">
      <w:start w:val="8"/>
      <w:numFmt w:val="decimal"/>
      <w:lvlText w:val="%1"/>
      <w:lvlJc w:val="left"/>
      <w:pPr>
        <w:ind w:left="450" w:hanging="450"/>
      </w:pPr>
      <w:rPr>
        <w:rFonts w:hint="default"/>
      </w:rPr>
    </w:lvl>
    <w:lvl w:ilvl="1" w:tentative="0">
      <w:start w:val="3"/>
      <w:numFmt w:val="decimal"/>
      <w:lvlText w:val="%1.%2"/>
      <w:lvlJc w:val="left"/>
      <w:pPr>
        <w:ind w:left="450" w:hanging="450"/>
      </w:pPr>
      <w:rPr>
        <w:rFonts w:hint="default"/>
      </w:rPr>
    </w:lvl>
    <w:lvl w:ilvl="2" w:tentative="0">
      <w:start w:val="1"/>
      <w:numFmt w:val="decimal"/>
      <w:pStyle w:val="181"/>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
    <w:nsid w:val="079102AD"/>
    <w:multiLevelType w:val="multilevel"/>
    <w:tmpl w:val="079102AD"/>
    <w:lvl w:ilvl="0" w:tentative="0">
      <w:start w:val="1"/>
      <w:numFmt w:val="decimal"/>
      <w:pStyle w:val="81"/>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tentative="0">
      <w:start w:val="1"/>
      <w:numFmt w:val="decimal"/>
      <w:pStyle w:val="8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106"/>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tentative="0">
      <w:start w:val="1"/>
      <w:numFmt w:val="lowerLetter"/>
      <w:pStyle w:val="128"/>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A3C19AC"/>
    <w:multiLevelType w:val="multilevel"/>
    <w:tmpl w:val="1A3C19AC"/>
    <w:lvl w:ilvl="0" w:tentative="0">
      <w:start w:val="1"/>
      <w:numFmt w:val="decimal"/>
      <w:lvlText w:val="(%1)"/>
      <w:lvlJc w:val="left"/>
      <w:pPr>
        <w:ind w:left="440" w:hanging="440"/>
      </w:pPr>
      <w:rPr>
        <w:rFonts w:hint="default" w:ascii="Times New Roman" w:hAnsi="Times New Roman"/>
        <w:b w:val="0"/>
        <w:bCs/>
        <w:sz w:val="24"/>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1DBF583A"/>
    <w:multiLevelType w:val="multilevel"/>
    <w:tmpl w:val="1DBF583A"/>
    <w:lvl w:ilvl="0" w:tentative="0">
      <w:start w:val="1"/>
      <w:numFmt w:val="decimal"/>
      <w:pStyle w:val="157"/>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tentative="0">
      <w:start w:val="1"/>
      <w:numFmt w:val="decimal"/>
      <w:pStyle w:val="154"/>
      <w:suff w:val="nothing"/>
      <w:lvlText w:val="%1　"/>
      <w:lvlJc w:val="left"/>
      <w:pPr>
        <w:ind w:left="1418" w:firstLine="0"/>
      </w:pPr>
      <w:rPr>
        <w:rFonts w:hint="eastAsia" w:ascii="黑体" w:hAnsi="Times New Roman" w:eastAsia="黑体"/>
        <w:b w:val="0"/>
        <w:i w:val="0"/>
        <w:sz w:val="21"/>
        <w:szCs w:val="21"/>
      </w:rPr>
    </w:lvl>
    <w:lvl w:ilvl="1" w:tentative="0">
      <w:start w:val="1"/>
      <w:numFmt w:val="decimal"/>
      <w:pStyle w:val="8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86"/>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A8F7113"/>
    <w:multiLevelType w:val="multilevel"/>
    <w:tmpl w:val="2A8F7113"/>
    <w:lvl w:ilvl="0" w:tentative="0">
      <w:start w:val="1"/>
      <w:numFmt w:val="upperLetter"/>
      <w:pStyle w:val="164"/>
      <w:suff w:val="space"/>
      <w:lvlText w:val="%1"/>
      <w:lvlJc w:val="left"/>
      <w:pPr>
        <w:ind w:left="623" w:hanging="425"/>
      </w:pPr>
      <w:rPr>
        <w:rFonts w:hint="eastAsia"/>
      </w:rPr>
    </w:lvl>
    <w:lvl w:ilvl="1" w:tentative="0">
      <w:start w:val="1"/>
      <w:numFmt w:val="decimal"/>
      <w:pStyle w:val="94"/>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82"/>
      <w:suff w:val="nothing"/>
      <w:lvlText w:val="%1——"/>
      <w:lvlJc w:val="left"/>
      <w:pPr>
        <w:ind w:left="833" w:hanging="408"/>
      </w:pPr>
      <w:rPr>
        <w:rFonts w:hint="eastAsia"/>
      </w:rPr>
    </w:lvl>
    <w:lvl w:ilvl="1" w:tentative="0">
      <w:start w:val="1"/>
      <w:numFmt w:val="bullet"/>
      <w:pStyle w:val="158"/>
      <w:lvlText w:val=""/>
      <w:lvlJc w:val="left"/>
      <w:pPr>
        <w:tabs>
          <w:tab w:val="left" w:pos="760"/>
        </w:tabs>
        <w:ind w:left="1264" w:hanging="413"/>
      </w:pPr>
      <w:rPr>
        <w:rFonts w:hint="default" w:ascii="Symbol" w:hAnsi="Symbol"/>
        <w:color w:val="auto"/>
      </w:rPr>
    </w:lvl>
    <w:lvl w:ilvl="2" w:tentative="0">
      <w:start w:val="1"/>
      <w:numFmt w:val="bullet"/>
      <w:pStyle w:val="17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4D63668"/>
    <w:multiLevelType w:val="multilevel"/>
    <w:tmpl w:val="34D63668"/>
    <w:lvl w:ilvl="0" w:tentative="0">
      <w:start w:val="1"/>
      <w:numFmt w:val="decimal"/>
      <w:lvlText w:val="(%1)"/>
      <w:lvlJc w:val="left"/>
      <w:pPr>
        <w:ind w:left="440" w:hanging="440"/>
      </w:pPr>
      <w:rPr>
        <w:rFonts w:hint="default" w:ascii="Times New Roman" w:hAnsi="Times New Roman"/>
        <w:b w:val="0"/>
        <w:bCs/>
        <w:sz w:val="24"/>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1">
    <w:nsid w:val="3D733618"/>
    <w:multiLevelType w:val="multilevel"/>
    <w:tmpl w:val="3D733618"/>
    <w:lvl w:ilvl="0" w:tentative="0">
      <w:start w:val="1"/>
      <w:numFmt w:val="decimal"/>
      <w:pStyle w:val="38"/>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07E65F9"/>
    <w:multiLevelType w:val="multilevel"/>
    <w:tmpl w:val="407E65F9"/>
    <w:lvl w:ilvl="0" w:tentative="0">
      <w:start w:val="1"/>
      <w:numFmt w:val="bullet"/>
      <w:lvlText w:val=""/>
      <w:lvlJc w:val="left"/>
      <w:pPr>
        <w:tabs>
          <w:tab w:val="left" w:pos="1140"/>
        </w:tabs>
        <w:ind w:left="737" w:hanging="317"/>
      </w:pPr>
      <w:rPr>
        <w:rFonts w:hint="default" w:ascii="Wingdings" w:hAnsi="Wingdings"/>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43B36CA8"/>
    <w:multiLevelType w:val="multilevel"/>
    <w:tmpl w:val="43B36CA8"/>
    <w:lvl w:ilvl="0" w:tentative="0">
      <w:start w:val="1"/>
      <w:numFmt w:val="decimal"/>
      <w:lvlText w:val="(%1)"/>
      <w:lvlJc w:val="left"/>
      <w:pPr>
        <w:ind w:left="440" w:hanging="440"/>
      </w:pPr>
      <w:rPr>
        <w:rFonts w:hint="default" w:ascii="Times New Roman" w:hAnsi="Times New Roman"/>
        <w:b w:val="0"/>
        <w:bCs/>
        <w:sz w:val="24"/>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4">
    <w:nsid w:val="44C50F90"/>
    <w:multiLevelType w:val="multilevel"/>
    <w:tmpl w:val="44C50F90"/>
    <w:lvl w:ilvl="0" w:tentative="0">
      <w:start w:val="1"/>
      <w:numFmt w:val="lowerLetter"/>
      <w:pStyle w:val="185"/>
      <w:lvlText w:val="%1)"/>
      <w:lvlJc w:val="left"/>
      <w:pPr>
        <w:tabs>
          <w:tab w:val="left" w:pos="851"/>
        </w:tabs>
        <w:ind w:left="851" w:hanging="426"/>
      </w:pPr>
      <w:rPr>
        <w:rFonts w:hint="eastAsia" w:ascii="宋体" w:hAnsi="Times New Roman" w:eastAsia="宋体"/>
        <w:sz w:val="21"/>
      </w:rPr>
    </w:lvl>
    <w:lvl w:ilvl="1" w:tentative="0">
      <w:start w:val="1"/>
      <w:numFmt w:val="decimal"/>
      <w:pStyle w:val="183"/>
      <w:lvlText w:val="%2)"/>
      <w:lvlJc w:val="left"/>
      <w:pPr>
        <w:tabs>
          <w:tab w:val="left" w:pos="1276"/>
        </w:tabs>
        <w:ind w:left="1276" w:hanging="425"/>
      </w:pPr>
      <w:rPr>
        <w:rFonts w:hint="eastAsia" w:ascii="宋体" w:hAnsi="Times New Roman" w:eastAsia="宋体"/>
        <w:sz w:val="21"/>
      </w:rPr>
    </w:lvl>
    <w:lvl w:ilvl="2" w:tentative="0">
      <w:start w:val="1"/>
      <w:numFmt w:val="decimal"/>
      <w:pStyle w:val="184"/>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5742AF1"/>
    <w:multiLevelType w:val="multilevel"/>
    <w:tmpl w:val="45742AF1"/>
    <w:lvl w:ilvl="0" w:tentative="0">
      <w:start w:val="1"/>
      <w:numFmt w:val="lowerLetter"/>
      <w:pStyle w:val="99"/>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04"/>
      <w:lvlText w:val="%2)"/>
      <w:lvlJc w:val="left"/>
      <w:pPr>
        <w:tabs>
          <w:tab w:val="left" w:pos="1260"/>
        </w:tabs>
        <w:ind w:left="1259" w:hanging="419"/>
      </w:pPr>
      <w:rPr>
        <w:rFonts w:hint="eastAsia"/>
      </w:rPr>
    </w:lvl>
    <w:lvl w:ilvl="2" w:tentative="0">
      <w:start w:val="1"/>
      <w:numFmt w:val="decimal"/>
      <w:pStyle w:val="93"/>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A090182"/>
    <w:multiLevelType w:val="multilevel"/>
    <w:tmpl w:val="4A090182"/>
    <w:lvl w:ilvl="0" w:tentative="0">
      <w:start w:val="1"/>
      <w:numFmt w:val="decimal"/>
      <w:lvlText w:val="(%1)"/>
      <w:lvlJc w:val="left"/>
      <w:pPr>
        <w:ind w:left="440" w:hanging="440"/>
      </w:pPr>
      <w:rPr>
        <w:rFonts w:hint="default" w:ascii="Times New Roman" w:hAnsi="Times New Roman"/>
        <w:b w:val="0"/>
        <w:bCs/>
        <w:sz w:val="24"/>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7">
    <w:nsid w:val="4B733A5F"/>
    <w:multiLevelType w:val="multilevel"/>
    <w:tmpl w:val="4B733A5F"/>
    <w:lvl w:ilvl="0" w:tentative="0">
      <w:start w:val="1"/>
      <w:numFmt w:val="decimal"/>
      <w:pStyle w:val="159"/>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8">
    <w:nsid w:val="4CEC45CD"/>
    <w:multiLevelType w:val="multilevel"/>
    <w:tmpl w:val="4CEC45CD"/>
    <w:lvl w:ilvl="0" w:tentative="0">
      <w:start w:val="1"/>
      <w:numFmt w:val="decimal"/>
      <w:pStyle w:val="2"/>
      <w:lvlText w:val="%1"/>
      <w:lvlJc w:val="left"/>
      <w:pPr>
        <w:tabs>
          <w:tab w:val="left" w:pos="454"/>
        </w:tabs>
        <w:ind w:left="0" w:firstLine="0"/>
      </w:pPr>
      <w:rPr>
        <w:rFonts w:hint="eastAsia"/>
      </w:rPr>
    </w:lvl>
    <w:lvl w:ilvl="1" w:tentative="0">
      <w:start w:val="1"/>
      <w:numFmt w:val="decimal"/>
      <w:pStyle w:val="3"/>
      <w:lvlText w:val="%1.%2"/>
      <w:lvlJc w:val="left"/>
      <w:pPr>
        <w:tabs>
          <w:tab w:val="left" w:pos="0"/>
        </w:tabs>
        <w:ind w:left="0" w:firstLine="0"/>
      </w:pPr>
      <w:rPr>
        <w:rFonts w:hint="eastAsia"/>
      </w:rPr>
    </w:lvl>
    <w:lvl w:ilvl="2" w:tentative="0">
      <w:start w:val="1"/>
      <w:numFmt w:val="decimal"/>
      <w:pStyle w:val="4"/>
      <w:lvlText w:val="%1.%2.%3"/>
      <w:lvlJc w:val="left"/>
      <w:pPr>
        <w:tabs>
          <w:tab w:val="left" w:pos="720"/>
        </w:tabs>
        <w:ind w:left="720" w:hanging="720"/>
      </w:pPr>
      <w:rPr>
        <w:rFonts w:hint="default" w:ascii="Times New Roman" w:hAnsi="Times New Roman" w:cs="Times New Roman"/>
      </w:rPr>
    </w:lvl>
    <w:lvl w:ilvl="3" w:tentative="0">
      <w:start w:val="1"/>
      <w:numFmt w:val="decimal"/>
      <w:pStyle w:val="240"/>
      <w:lvlText w:val="%1.%2.%3.%4"/>
      <w:lvlJc w:val="left"/>
      <w:rPr>
        <w:rFonts w:hint="default"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pStyle w:val="243"/>
      <w:lvlText w:val="%1.%2.%3.%4.%5"/>
      <w:lvlJc w:val="left"/>
      <w:pPr>
        <w:tabs>
          <w:tab w:val="left" w:pos="1008"/>
        </w:tabs>
        <w:ind w:left="1008" w:hanging="1008"/>
      </w:pPr>
      <w:rPr>
        <w:rFonts w:hint="eastAsia"/>
      </w:rPr>
    </w:lvl>
    <w:lvl w:ilvl="5" w:tentative="0">
      <w:start w:val="1"/>
      <w:numFmt w:val="decimal"/>
      <w:pStyle w:val="232"/>
      <w:lvlText w:val="%1.%2.%3.%4.%5.%6"/>
      <w:lvlJc w:val="left"/>
      <w:pPr>
        <w:tabs>
          <w:tab w:val="left" w:pos="1152"/>
        </w:tabs>
        <w:ind w:left="1152" w:hanging="1152"/>
      </w:pPr>
      <w:rPr>
        <w:rFonts w:hint="eastAsia"/>
      </w:rPr>
    </w:lvl>
    <w:lvl w:ilvl="6" w:tentative="0">
      <w:start w:val="1"/>
      <w:numFmt w:val="decimal"/>
      <w:pStyle w:val="248"/>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9">
    <w:nsid w:val="557C2AF5"/>
    <w:multiLevelType w:val="multilevel"/>
    <w:tmpl w:val="557C2AF5"/>
    <w:lvl w:ilvl="0" w:tentative="0">
      <w:start w:val="1"/>
      <w:numFmt w:val="decimal"/>
      <w:pStyle w:val="14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0">
    <w:nsid w:val="5F290452"/>
    <w:multiLevelType w:val="multilevel"/>
    <w:tmpl w:val="5F290452"/>
    <w:lvl w:ilvl="0" w:tentative="0">
      <w:start w:val="1"/>
      <w:numFmt w:val="decimal"/>
      <w:lvlText w:val="(%1)"/>
      <w:lvlJc w:val="left"/>
      <w:pPr>
        <w:ind w:left="440" w:hanging="440"/>
      </w:pPr>
      <w:rPr>
        <w:rFonts w:hint="default" w:ascii="Times New Roman" w:hAnsi="Times New Roman"/>
        <w:b w:val="0"/>
        <w:bCs/>
        <w:sz w:val="24"/>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1">
    <w:nsid w:val="60B55DC2"/>
    <w:multiLevelType w:val="multilevel"/>
    <w:tmpl w:val="60B55DC2"/>
    <w:lvl w:ilvl="0" w:tentative="0">
      <w:start w:val="1"/>
      <w:numFmt w:val="upperLetter"/>
      <w:pStyle w:val="148"/>
      <w:lvlText w:val="%1"/>
      <w:lvlJc w:val="left"/>
      <w:pPr>
        <w:tabs>
          <w:tab w:val="left" w:pos="0"/>
        </w:tabs>
        <w:ind w:left="0" w:hanging="425"/>
      </w:pPr>
      <w:rPr>
        <w:rFonts w:hint="eastAsia"/>
      </w:rPr>
    </w:lvl>
    <w:lvl w:ilvl="1" w:tentative="0">
      <w:start w:val="1"/>
      <w:numFmt w:val="decimal"/>
      <w:pStyle w:val="116"/>
      <w:suff w:val="nothing"/>
      <w:lvlText w:val="表%1.%2　"/>
      <w:lvlJc w:val="left"/>
      <w:pPr>
        <w:ind w:left="5245"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2">
    <w:nsid w:val="60E9048F"/>
    <w:multiLevelType w:val="multilevel"/>
    <w:tmpl w:val="60E9048F"/>
    <w:lvl w:ilvl="0" w:tentative="0">
      <w:start w:val="1"/>
      <w:numFmt w:val="decimal"/>
      <w:pStyle w:val="200"/>
      <w:lvlText w:val="%1.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646260FA"/>
    <w:multiLevelType w:val="multilevel"/>
    <w:tmpl w:val="646260FA"/>
    <w:lvl w:ilvl="0" w:tentative="0">
      <w:start w:val="1"/>
      <w:numFmt w:val="decimal"/>
      <w:pStyle w:val="124"/>
      <w:suff w:val="nothing"/>
      <w:lvlText w:val="表%1　"/>
      <w:lvlJc w:val="left"/>
      <w:pPr>
        <w:ind w:left="4253" w:firstLine="0"/>
      </w:pPr>
      <w:rPr>
        <w:rFonts w:hint="eastAsia" w:ascii="黑体" w:hAnsi="Times New Roman" w:eastAsia="黑体"/>
        <w:b w:val="0"/>
        <w:i w:val="0"/>
        <w:sz w:val="21"/>
      </w:rPr>
    </w:lvl>
    <w:lvl w:ilvl="1" w:tentative="0">
      <w:start w:val="1"/>
      <w:numFmt w:val="decimal"/>
      <w:lvlText w:val="%1.%2"/>
      <w:lvlJc w:val="left"/>
      <w:pPr>
        <w:tabs>
          <w:tab w:val="left" w:pos="5245"/>
        </w:tabs>
        <w:ind w:left="5245" w:hanging="567"/>
      </w:pPr>
      <w:rPr>
        <w:rFonts w:hint="eastAsia"/>
      </w:rPr>
    </w:lvl>
    <w:lvl w:ilvl="2" w:tentative="0">
      <w:start w:val="1"/>
      <w:numFmt w:val="decimal"/>
      <w:lvlText w:val="%1.%2.%3"/>
      <w:lvlJc w:val="left"/>
      <w:pPr>
        <w:tabs>
          <w:tab w:val="left" w:pos="5671"/>
        </w:tabs>
        <w:ind w:left="5671" w:hanging="567"/>
      </w:pPr>
      <w:rPr>
        <w:rFonts w:hint="eastAsia"/>
      </w:rPr>
    </w:lvl>
    <w:lvl w:ilvl="3" w:tentative="0">
      <w:start w:val="1"/>
      <w:numFmt w:val="decimal"/>
      <w:lvlText w:val="%1.%2.%3.%4"/>
      <w:lvlJc w:val="left"/>
      <w:pPr>
        <w:tabs>
          <w:tab w:val="left" w:pos="6237"/>
        </w:tabs>
        <w:ind w:left="6237" w:hanging="708"/>
      </w:pPr>
      <w:rPr>
        <w:rFonts w:hint="eastAsia"/>
      </w:rPr>
    </w:lvl>
    <w:lvl w:ilvl="4" w:tentative="0">
      <w:start w:val="1"/>
      <w:numFmt w:val="decimal"/>
      <w:lvlText w:val="%1.%2.%3.%4.%5"/>
      <w:lvlJc w:val="left"/>
      <w:pPr>
        <w:tabs>
          <w:tab w:val="left" w:pos="6804"/>
        </w:tabs>
        <w:ind w:left="6804" w:hanging="850"/>
      </w:pPr>
      <w:rPr>
        <w:rFonts w:hint="eastAsia"/>
      </w:rPr>
    </w:lvl>
    <w:lvl w:ilvl="5" w:tentative="0">
      <w:start w:val="1"/>
      <w:numFmt w:val="decimal"/>
      <w:lvlText w:val="%1.%2.%3.%4.%5.%6"/>
      <w:lvlJc w:val="left"/>
      <w:pPr>
        <w:tabs>
          <w:tab w:val="left" w:pos="7513"/>
        </w:tabs>
        <w:ind w:left="7513" w:hanging="1134"/>
      </w:pPr>
      <w:rPr>
        <w:rFonts w:hint="eastAsia"/>
      </w:rPr>
    </w:lvl>
    <w:lvl w:ilvl="6" w:tentative="0">
      <w:start w:val="1"/>
      <w:numFmt w:val="decimal"/>
      <w:lvlText w:val="%1.%2.%3.%4.%5.%6.%7"/>
      <w:lvlJc w:val="left"/>
      <w:pPr>
        <w:tabs>
          <w:tab w:val="left" w:pos="8080"/>
        </w:tabs>
        <w:ind w:left="8080" w:hanging="1276"/>
      </w:pPr>
      <w:rPr>
        <w:rFonts w:hint="eastAsia"/>
      </w:rPr>
    </w:lvl>
    <w:lvl w:ilvl="7" w:tentative="0">
      <w:start w:val="1"/>
      <w:numFmt w:val="decimal"/>
      <w:lvlText w:val="%1.%2.%3.%4.%5.%6.%7.%8"/>
      <w:lvlJc w:val="left"/>
      <w:pPr>
        <w:tabs>
          <w:tab w:val="left" w:pos="8647"/>
        </w:tabs>
        <w:ind w:left="8647" w:hanging="1418"/>
      </w:pPr>
      <w:rPr>
        <w:rFonts w:hint="eastAsia"/>
      </w:rPr>
    </w:lvl>
    <w:lvl w:ilvl="8" w:tentative="0">
      <w:start w:val="1"/>
      <w:numFmt w:val="decimal"/>
      <w:lvlText w:val="%1.%2.%3.%4.%5.%6.%7.%8.%9"/>
      <w:lvlJc w:val="left"/>
      <w:pPr>
        <w:tabs>
          <w:tab w:val="left" w:pos="9355"/>
        </w:tabs>
        <w:ind w:left="9355" w:hanging="1700"/>
      </w:pPr>
      <w:rPr>
        <w:rFonts w:hint="eastAsia"/>
      </w:rPr>
    </w:lvl>
  </w:abstractNum>
  <w:abstractNum w:abstractNumId="24">
    <w:nsid w:val="657D3FBC"/>
    <w:multiLevelType w:val="multilevel"/>
    <w:tmpl w:val="657D3FBC"/>
    <w:lvl w:ilvl="0" w:tentative="0">
      <w:start w:val="1"/>
      <w:numFmt w:val="upperLetter"/>
      <w:pStyle w:val="129"/>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27"/>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pStyle w:val="101"/>
      <w:suff w:val="nothing"/>
      <w:lvlText w:val="%1.%2.%3.%4　"/>
      <w:lvlJc w:val="left"/>
      <w:pPr>
        <w:ind w:left="0" w:firstLine="0"/>
      </w:pPr>
      <w:rPr>
        <w:rFonts w:hint="eastAsia" w:ascii="黑体" w:hAnsi="Times New Roman" w:eastAsia="黑体"/>
        <w:b w:val="0"/>
        <w:i w:val="0"/>
        <w:sz w:val="21"/>
      </w:rPr>
    </w:lvl>
    <w:lvl w:ilvl="4" w:tentative="0">
      <w:start w:val="1"/>
      <w:numFmt w:val="decimal"/>
      <w:pStyle w:val="100"/>
      <w:suff w:val="nothing"/>
      <w:lvlText w:val="%1.%2.%3.%4.%5　"/>
      <w:lvlJc w:val="left"/>
      <w:pPr>
        <w:ind w:left="0" w:firstLine="0"/>
      </w:pPr>
      <w:rPr>
        <w:rFonts w:hint="eastAsia" w:ascii="黑体" w:hAnsi="Times New Roman" w:eastAsia="黑体"/>
        <w:b w:val="0"/>
        <w:i w:val="0"/>
        <w:sz w:val="21"/>
      </w:rPr>
    </w:lvl>
    <w:lvl w:ilvl="5" w:tentative="0">
      <w:start w:val="1"/>
      <w:numFmt w:val="decimal"/>
      <w:pStyle w:val="10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CEA2025"/>
    <w:multiLevelType w:val="multilevel"/>
    <w:tmpl w:val="6CEA2025"/>
    <w:lvl w:ilvl="0" w:tentative="0">
      <w:start w:val="1"/>
      <w:numFmt w:val="none"/>
      <w:pStyle w:val="192"/>
      <w:suff w:val="nothing"/>
      <w:lvlText w:val="%1"/>
      <w:lvlJc w:val="left"/>
      <w:pPr>
        <w:ind w:left="0" w:firstLine="0"/>
      </w:pPr>
      <w:rPr>
        <w:rFonts w:hint="eastAsia"/>
      </w:rPr>
    </w:lvl>
    <w:lvl w:ilvl="1" w:tentative="0">
      <w:start w:val="1"/>
      <w:numFmt w:val="decimal"/>
      <w:pStyle w:val="190"/>
      <w:suff w:val="nothing"/>
      <w:lvlText w:val="%1%2　"/>
      <w:lvlJc w:val="left"/>
      <w:pPr>
        <w:ind w:left="0" w:firstLine="0"/>
      </w:pPr>
      <w:rPr>
        <w:rFonts w:hint="eastAsia" w:ascii="黑体" w:eastAsia="黑体"/>
        <w:b w:val="0"/>
        <w:i w:val="0"/>
        <w:sz w:val="21"/>
      </w:rPr>
    </w:lvl>
    <w:lvl w:ilvl="2" w:tentative="0">
      <w:start w:val="1"/>
      <w:numFmt w:val="decimal"/>
      <w:pStyle w:val="19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5"/>
      <w:numFmt w:val="decimal"/>
      <w:pStyle w:val="186"/>
      <w:suff w:val="nothing"/>
      <w:lvlText w:val="%1%2.%3.%4　"/>
      <w:lvlJc w:val="left"/>
      <w:pPr>
        <w:ind w:left="0" w:firstLine="0"/>
      </w:pPr>
      <w:rPr>
        <w:rFonts w:hint="eastAsia" w:ascii="黑体" w:eastAsia="黑体"/>
        <w:b w:val="0"/>
        <w:i w:val="0"/>
        <w:sz w:val="21"/>
      </w:rPr>
    </w:lvl>
    <w:lvl w:ilvl="4" w:tentative="0">
      <w:start w:val="1"/>
      <w:numFmt w:val="decimal"/>
      <w:pStyle w:val="187"/>
      <w:suff w:val="nothing"/>
      <w:lvlText w:val="%1%2.%3.%4.%5　"/>
      <w:lvlJc w:val="left"/>
      <w:pPr>
        <w:ind w:left="1134" w:firstLine="0"/>
      </w:pPr>
      <w:rPr>
        <w:rFonts w:hint="eastAsia" w:ascii="黑体" w:eastAsia="黑体"/>
        <w:b w:val="0"/>
        <w:i w:val="0"/>
        <w:sz w:val="21"/>
      </w:rPr>
    </w:lvl>
    <w:lvl w:ilvl="5" w:tentative="0">
      <w:start w:val="1"/>
      <w:numFmt w:val="decimal"/>
      <w:pStyle w:val="188"/>
      <w:suff w:val="nothing"/>
      <w:lvlText w:val="%1%2.%3.%4.%5.%6　"/>
      <w:lvlJc w:val="left"/>
      <w:pPr>
        <w:ind w:left="0" w:firstLine="0"/>
      </w:pPr>
      <w:rPr>
        <w:rFonts w:hint="eastAsia" w:ascii="黑体" w:eastAsia="黑体"/>
        <w:b w:val="0"/>
        <w:i w:val="0"/>
        <w:sz w:val="21"/>
      </w:rPr>
    </w:lvl>
    <w:lvl w:ilvl="6" w:tentative="0">
      <w:start w:val="1"/>
      <w:numFmt w:val="decimal"/>
      <w:pStyle w:val="189"/>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6">
    <w:nsid w:val="6D6C07CD"/>
    <w:multiLevelType w:val="multilevel"/>
    <w:tmpl w:val="6D6C07CD"/>
    <w:lvl w:ilvl="0" w:tentative="0">
      <w:start w:val="1"/>
      <w:numFmt w:val="lowerLetter"/>
      <w:pStyle w:val="134"/>
      <w:lvlText w:val="%1)"/>
      <w:lvlJc w:val="left"/>
      <w:pPr>
        <w:tabs>
          <w:tab w:val="left" w:pos="839"/>
        </w:tabs>
        <w:ind w:left="839" w:hanging="419"/>
      </w:pPr>
      <w:rPr>
        <w:rFonts w:hint="eastAsia" w:ascii="宋体" w:eastAsia="宋体"/>
        <w:b w:val="0"/>
        <w:i w:val="0"/>
        <w:sz w:val="21"/>
      </w:rPr>
    </w:lvl>
    <w:lvl w:ilvl="1" w:tentative="0">
      <w:start w:val="1"/>
      <w:numFmt w:val="decimal"/>
      <w:pStyle w:val="145"/>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27">
    <w:nsid w:val="6DBF04F4"/>
    <w:multiLevelType w:val="multilevel"/>
    <w:tmpl w:val="6DBF04F4"/>
    <w:lvl w:ilvl="0" w:tentative="0">
      <w:start w:val="1"/>
      <w:numFmt w:val="none"/>
      <w:pStyle w:val="162"/>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8">
    <w:nsid w:val="71227F21"/>
    <w:multiLevelType w:val="multilevel"/>
    <w:tmpl w:val="71227F21"/>
    <w:lvl w:ilvl="0" w:tentative="0">
      <w:start w:val="1"/>
      <w:numFmt w:val="decimal"/>
      <w:lvlText w:val="(%1)"/>
      <w:lvlJc w:val="left"/>
      <w:pPr>
        <w:ind w:left="440" w:hanging="440"/>
      </w:pPr>
      <w:rPr>
        <w:rFonts w:hint="default" w:ascii="Times New Roman" w:hAnsi="Times New Roman"/>
        <w:b w:val="0"/>
        <w:bCs/>
        <w:sz w:val="24"/>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9">
    <w:nsid w:val="7269651B"/>
    <w:multiLevelType w:val="multilevel"/>
    <w:tmpl w:val="7269651B"/>
    <w:lvl w:ilvl="0" w:tentative="0">
      <w:start w:val="1"/>
      <w:numFmt w:val="decimal"/>
      <w:lvlText w:val="(%1)"/>
      <w:lvlJc w:val="left"/>
      <w:pPr>
        <w:ind w:left="440" w:hanging="440"/>
      </w:pPr>
      <w:rPr>
        <w:rFonts w:hint="default" w:ascii="Times New Roman" w:hAnsi="Times New Roman"/>
        <w:b w:val="0"/>
        <w:bCs/>
        <w:sz w:val="24"/>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0">
    <w:nsid w:val="760C7656"/>
    <w:multiLevelType w:val="multilevel"/>
    <w:tmpl w:val="760C7656"/>
    <w:lvl w:ilvl="0" w:tentative="0">
      <w:start w:val="1"/>
      <w:numFmt w:val="decimal"/>
      <w:lvlText w:val="(%1)"/>
      <w:lvlJc w:val="left"/>
      <w:pPr>
        <w:ind w:left="440" w:hanging="440"/>
      </w:pPr>
      <w:rPr>
        <w:rFonts w:hint="default" w:ascii="Times New Roman" w:hAnsi="Times New Roman"/>
        <w:b w:val="0"/>
        <w:bCs/>
        <w:sz w:val="24"/>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8"/>
  </w:num>
  <w:num w:numId="2">
    <w:abstractNumId w:val="11"/>
  </w:num>
  <w:num w:numId="3">
    <w:abstractNumId w:val="2"/>
  </w:num>
  <w:num w:numId="4">
    <w:abstractNumId w:val="1"/>
  </w:num>
  <w:num w:numId="5">
    <w:abstractNumId w:val="9"/>
  </w:num>
  <w:num w:numId="6">
    <w:abstractNumId w:val="7"/>
  </w:num>
  <w:num w:numId="7">
    <w:abstractNumId w:val="15"/>
  </w:num>
  <w:num w:numId="8">
    <w:abstractNumId w:val="8"/>
  </w:num>
  <w:num w:numId="9">
    <w:abstractNumId w:val="24"/>
  </w:num>
  <w:num w:numId="10">
    <w:abstractNumId w:val="3"/>
  </w:num>
  <w:num w:numId="11">
    <w:abstractNumId w:val="21"/>
  </w:num>
  <w:num w:numId="12">
    <w:abstractNumId w:val="23"/>
  </w:num>
  <w:num w:numId="13">
    <w:abstractNumId w:val="4"/>
  </w:num>
  <w:num w:numId="14">
    <w:abstractNumId w:val="26"/>
  </w:num>
  <w:num w:numId="15">
    <w:abstractNumId w:val="19"/>
  </w:num>
  <w:num w:numId="16">
    <w:abstractNumId w:val="6"/>
  </w:num>
  <w:num w:numId="17">
    <w:abstractNumId w:val="17"/>
  </w:num>
  <w:num w:numId="18">
    <w:abstractNumId w:val="27"/>
  </w:num>
  <w:num w:numId="19">
    <w:abstractNumId w:val="0"/>
  </w:num>
  <w:num w:numId="20">
    <w:abstractNumId w:val="14"/>
  </w:num>
  <w:num w:numId="21">
    <w:abstractNumId w:val="25"/>
  </w:num>
  <w:num w:numId="22">
    <w:abstractNumId w:val="22"/>
  </w:num>
  <w:num w:numId="23">
    <w:abstractNumId w:val="16"/>
  </w:num>
  <w:num w:numId="24">
    <w:abstractNumId w:val="29"/>
  </w:num>
  <w:num w:numId="25">
    <w:abstractNumId w:val="10"/>
  </w:num>
  <w:num w:numId="26">
    <w:abstractNumId w:val="5"/>
  </w:num>
  <w:num w:numId="27">
    <w:abstractNumId w:val="30"/>
  </w:num>
  <w:num w:numId="28">
    <w:abstractNumId w:val="20"/>
  </w:num>
  <w:num w:numId="29">
    <w:abstractNumId w:val="28"/>
  </w:num>
  <w:num w:numId="30">
    <w:abstractNumId w:val="13"/>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removePersonalInformation/>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Y5MWIzMjJiZWMyNjIwOTNlOGVkYTE3ZmY5YzY5N2MifQ=="/>
  </w:docVars>
  <w:rsids>
    <w:rsidRoot w:val="00035925"/>
    <w:rsid w:val="00000244"/>
    <w:rsid w:val="0000185F"/>
    <w:rsid w:val="00002BE0"/>
    <w:rsid w:val="00004950"/>
    <w:rsid w:val="00004ECF"/>
    <w:rsid w:val="00004EF6"/>
    <w:rsid w:val="0000586F"/>
    <w:rsid w:val="00006CE3"/>
    <w:rsid w:val="00011868"/>
    <w:rsid w:val="00011A97"/>
    <w:rsid w:val="00012406"/>
    <w:rsid w:val="00012803"/>
    <w:rsid w:val="000129EE"/>
    <w:rsid w:val="00013D86"/>
    <w:rsid w:val="00013E02"/>
    <w:rsid w:val="0001424B"/>
    <w:rsid w:val="00014561"/>
    <w:rsid w:val="00020221"/>
    <w:rsid w:val="0002090F"/>
    <w:rsid w:val="0002143C"/>
    <w:rsid w:val="00021762"/>
    <w:rsid w:val="00021E8C"/>
    <w:rsid w:val="00021FF1"/>
    <w:rsid w:val="00022265"/>
    <w:rsid w:val="0002230E"/>
    <w:rsid w:val="000228BA"/>
    <w:rsid w:val="0002370A"/>
    <w:rsid w:val="00023EE0"/>
    <w:rsid w:val="00025378"/>
    <w:rsid w:val="00025A65"/>
    <w:rsid w:val="00026C31"/>
    <w:rsid w:val="00027280"/>
    <w:rsid w:val="00030935"/>
    <w:rsid w:val="00031914"/>
    <w:rsid w:val="00031A7B"/>
    <w:rsid w:val="00031B08"/>
    <w:rsid w:val="000320A7"/>
    <w:rsid w:val="00032808"/>
    <w:rsid w:val="00032B46"/>
    <w:rsid w:val="00034920"/>
    <w:rsid w:val="0003568C"/>
    <w:rsid w:val="00035925"/>
    <w:rsid w:val="00035BDF"/>
    <w:rsid w:val="00040E1E"/>
    <w:rsid w:val="0004193E"/>
    <w:rsid w:val="000419B2"/>
    <w:rsid w:val="00042276"/>
    <w:rsid w:val="00043B75"/>
    <w:rsid w:val="00047EB1"/>
    <w:rsid w:val="0005024B"/>
    <w:rsid w:val="00052CE6"/>
    <w:rsid w:val="00053F65"/>
    <w:rsid w:val="0005443F"/>
    <w:rsid w:val="00056428"/>
    <w:rsid w:val="00060FF6"/>
    <w:rsid w:val="000610AD"/>
    <w:rsid w:val="000611FF"/>
    <w:rsid w:val="0006162B"/>
    <w:rsid w:val="00062163"/>
    <w:rsid w:val="00063736"/>
    <w:rsid w:val="000638C6"/>
    <w:rsid w:val="000657F0"/>
    <w:rsid w:val="00065876"/>
    <w:rsid w:val="0006599F"/>
    <w:rsid w:val="000667C3"/>
    <w:rsid w:val="00066A12"/>
    <w:rsid w:val="00067CDF"/>
    <w:rsid w:val="00070AA0"/>
    <w:rsid w:val="0007229C"/>
    <w:rsid w:val="0007266F"/>
    <w:rsid w:val="00074FBE"/>
    <w:rsid w:val="0007562D"/>
    <w:rsid w:val="00075791"/>
    <w:rsid w:val="000804FF"/>
    <w:rsid w:val="00080E3C"/>
    <w:rsid w:val="00081943"/>
    <w:rsid w:val="00082017"/>
    <w:rsid w:val="000835E6"/>
    <w:rsid w:val="00083A09"/>
    <w:rsid w:val="000845BC"/>
    <w:rsid w:val="000861EB"/>
    <w:rsid w:val="000867F9"/>
    <w:rsid w:val="00087ED2"/>
    <w:rsid w:val="0009005E"/>
    <w:rsid w:val="00091087"/>
    <w:rsid w:val="000915C3"/>
    <w:rsid w:val="000918F3"/>
    <w:rsid w:val="00091B7D"/>
    <w:rsid w:val="00092857"/>
    <w:rsid w:val="00092A3C"/>
    <w:rsid w:val="000946AA"/>
    <w:rsid w:val="00096E24"/>
    <w:rsid w:val="00097A03"/>
    <w:rsid w:val="00097D7C"/>
    <w:rsid w:val="000A0E2E"/>
    <w:rsid w:val="000A15E2"/>
    <w:rsid w:val="000A1FB6"/>
    <w:rsid w:val="000A203D"/>
    <w:rsid w:val="000A204D"/>
    <w:rsid w:val="000A20A9"/>
    <w:rsid w:val="000A233F"/>
    <w:rsid w:val="000A3029"/>
    <w:rsid w:val="000A36BC"/>
    <w:rsid w:val="000A48B1"/>
    <w:rsid w:val="000A5343"/>
    <w:rsid w:val="000A62BD"/>
    <w:rsid w:val="000B07FA"/>
    <w:rsid w:val="000B0E61"/>
    <w:rsid w:val="000B1BF9"/>
    <w:rsid w:val="000B2068"/>
    <w:rsid w:val="000B22EF"/>
    <w:rsid w:val="000B30E5"/>
    <w:rsid w:val="000B3143"/>
    <w:rsid w:val="000B32DA"/>
    <w:rsid w:val="000B45C5"/>
    <w:rsid w:val="000B4C99"/>
    <w:rsid w:val="000B4EDC"/>
    <w:rsid w:val="000B5AD6"/>
    <w:rsid w:val="000B6F2D"/>
    <w:rsid w:val="000B75FB"/>
    <w:rsid w:val="000B75FE"/>
    <w:rsid w:val="000B7886"/>
    <w:rsid w:val="000C2FCB"/>
    <w:rsid w:val="000C3FE5"/>
    <w:rsid w:val="000C4389"/>
    <w:rsid w:val="000C492D"/>
    <w:rsid w:val="000C5019"/>
    <w:rsid w:val="000C5CAE"/>
    <w:rsid w:val="000C6221"/>
    <w:rsid w:val="000C6B05"/>
    <w:rsid w:val="000C6DD6"/>
    <w:rsid w:val="000C73D4"/>
    <w:rsid w:val="000C7E96"/>
    <w:rsid w:val="000D00B3"/>
    <w:rsid w:val="000D3D4C"/>
    <w:rsid w:val="000D4245"/>
    <w:rsid w:val="000D499D"/>
    <w:rsid w:val="000D4F51"/>
    <w:rsid w:val="000D52E6"/>
    <w:rsid w:val="000D5CD5"/>
    <w:rsid w:val="000D6EF0"/>
    <w:rsid w:val="000D718B"/>
    <w:rsid w:val="000E0C46"/>
    <w:rsid w:val="000E16E8"/>
    <w:rsid w:val="000E397D"/>
    <w:rsid w:val="000E3A1F"/>
    <w:rsid w:val="000E3FBB"/>
    <w:rsid w:val="000E3FC9"/>
    <w:rsid w:val="000E4852"/>
    <w:rsid w:val="000E488B"/>
    <w:rsid w:val="000E5950"/>
    <w:rsid w:val="000E68DE"/>
    <w:rsid w:val="000E6FAB"/>
    <w:rsid w:val="000F030C"/>
    <w:rsid w:val="000F0BAD"/>
    <w:rsid w:val="000F129C"/>
    <w:rsid w:val="000F2589"/>
    <w:rsid w:val="000F2F51"/>
    <w:rsid w:val="000F5151"/>
    <w:rsid w:val="000F563A"/>
    <w:rsid w:val="000F5843"/>
    <w:rsid w:val="000F669C"/>
    <w:rsid w:val="000F6C7E"/>
    <w:rsid w:val="000F713C"/>
    <w:rsid w:val="00100325"/>
    <w:rsid w:val="00101708"/>
    <w:rsid w:val="0010289B"/>
    <w:rsid w:val="001056DE"/>
    <w:rsid w:val="00106451"/>
    <w:rsid w:val="00106894"/>
    <w:rsid w:val="001116F6"/>
    <w:rsid w:val="001124C0"/>
    <w:rsid w:val="00112BC0"/>
    <w:rsid w:val="001136C3"/>
    <w:rsid w:val="00113EC3"/>
    <w:rsid w:val="00120374"/>
    <w:rsid w:val="0012108F"/>
    <w:rsid w:val="001216D2"/>
    <w:rsid w:val="00121C64"/>
    <w:rsid w:val="00122898"/>
    <w:rsid w:val="00124CED"/>
    <w:rsid w:val="001252A5"/>
    <w:rsid w:val="0012552F"/>
    <w:rsid w:val="00126B5B"/>
    <w:rsid w:val="001272D8"/>
    <w:rsid w:val="0013175F"/>
    <w:rsid w:val="00131A5E"/>
    <w:rsid w:val="00132019"/>
    <w:rsid w:val="00132240"/>
    <w:rsid w:val="0013316A"/>
    <w:rsid w:val="00134AD7"/>
    <w:rsid w:val="001354C8"/>
    <w:rsid w:val="00135A12"/>
    <w:rsid w:val="00136217"/>
    <w:rsid w:val="00136F70"/>
    <w:rsid w:val="001427B6"/>
    <w:rsid w:val="00142ED5"/>
    <w:rsid w:val="00144A2E"/>
    <w:rsid w:val="00144E58"/>
    <w:rsid w:val="001454E2"/>
    <w:rsid w:val="001470C4"/>
    <w:rsid w:val="001504DE"/>
    <w:rsid w:val="001512B4"/>
    <w:rsid w:val="00151685"/>
    <w:rsid w:val="0015191A"/>
    <w:rsid w:val="001560C2"/>
    <w:rsid w:val="00156C55"/>
    <w:rsid w:val="00156EE1"/>
    <w:rsid w:val="00157595"/>
    <w:rsid w:val="00157C34"/>
    <w:rsid w:val="00160D1F"/>
    <w:rsid w:val="001620A5"/>
    <w:rsid w:val="001629BE"/>
    <w:rsid w:val="00162ACA"/>
    <w:rsid w:val="00162DA8"/>
    <w:rsid w:val="00164A42"/>
    <w:rsid w:val="00164E53"/>
    <w:rsid w:val="00166954"/>
    <w:rsid w:val="0016699D"/>
    <w:rsid w:val="00166D54"/>
    <w:rsid w:val="0016796D"/>
    <w:rsid w:val="00172643"/>
    <w:rsid w:val="0017276F"/>
    <w:rsid w:val="001734DB"/>
    <w:rsid w:val="001740EC"/>
    <w:rsid w:val="0017427E"/>
    <w:rsid w:val="00174E3D"/>
    <w:rsid w:val="00175159"/>
    <w:rsid w:val="0017532C"/>
    <w:rsid w:val="00175C8C"/>
    <w:rsid w:val="00176208"/>
    <w:rsid w:val="0017657F"/>
    <w:rsid w:val="001767FB"/>
    <w:rsid w:val="001776DA"/>
    <w:rsid w:val="00177B68"/>
    <w:rsid w:val="00180E1F"/>
    <w:rsid w:val="0018211B"/>
    <w:rsid w:val="00183E26"/>
    <w:rsid w:val="001840D3"/>
    <w:rsid w:val="00184E29"/>
    <w:rsid w:val="0018553A"/>
    <w:rsid w:val="00187337"/>
    <w:rsid w:val="0019005E"/>
    <w:rsid w:val="001900F8"/>
    <w:rsid w:val="00190CED"/>
    <w:rsid w:val="00191258"/>
    <w:rsid w:val="0019141C"/>
    <w:rsid w:val="00191506"/>
    <w:rsid w:val="00191748"/>
    <w:rsid w:val="0019208D"/>
    <w:rsid w:val="001921C0"/>
    <w:rsid w:val="00192680"/>
    <w:rsid w:val="00192B5C"/>
    <w:rsid w:val="00193037"/>
    <w:rsid w:val="001936AE"/>
    <w:rsid w:val="00193808"/>
    <w:rsid w:val="00193A2C"/>
    <w:rsid w:val="00193FA6"/>
    <w:rsid w:val="0019438E"/>
    <w:rsid w:val="001969F0"/>
    <w:rsid w:val="001971F6"/>
    <w:rsid w:val="001974C1"/>
    <w:rsid w:val="001A0113"/>
    <w:rsid w:val="001A0FB5"/>
    <w:rsid w:val="001A1A36"/>
    <w:rsid w:val="001A2549"/>
    <w:rsid w:val="001A25BC"/>
    <w:rsid w:val="001A288E"/>
    <w:rsid w:val="001A4421"/>
    <w:rsid w:val="001A5424"/>
    <w:rsid w:val="001A6247"/>
    <w:rsid w:val="001A6726"/>
    <w:rsid w:val="001B05CB"/>
    <w:rsid w:val="001B1192"/>
    <w:rsid w:val="001B2985"/>
    <w:rsid w:val="001B3B71"/>
    <w:rsid w:val="001B4633"/>
    <w:rsid w:val="001B549B"/>
    <w:rsid w:val="001B5AF1"/>
    <w:rsid w:val="001B616F"/>
    <w:rsid w:val="001B6DC2"/>
    <w:rsid w:val="001B739E"/>
    <w:rsid w:val="001B7A95"/>
    <w:rsid w:val="001C023D"/>
    <w:rsid w:val="001C1367"/>
    <w:rsid w:val="001C149C"/>
    <w:rsid w:val="001C21AC"/>
    <w:rsid w:val="001C2301"/>
    <w:rsid w:val="001C2F5C"/>
    <w:rsid w:val="001C3EC4"/>
    <w:rsid w:val="001C47BA"/>
    <w:rsid w:val="001C47C7"/>
    <w:rsid w:val="001C59EA"/>
    <w:rsid w:val="001C5D02"/>
    <w:rsid w:val="001C60D5"/>
    <w:rsid w:val="001D0E84"/>
    <w:rsid w:val="001D15CA"/>
    <w:rsid w:val="001D3D35"/>
    <w:rsid w:val="001D406C"/>
    <w:rsid w:val="001D41EE"/>
    <w:rsid w:val="001D56ED"/>
    <w:rsid w:val="001D5A38"/>
    <w:rsid w:val="001D5DA2"/>
    <w:rsid w:val="001D6327"/>
    <w:rsid w:val="001E0380"/>
    <w:rsid w:val="001E13B1"/>
    <w:rsid w:val="001E1484"/>
    <w:rsid w:val="001E1A40"/>
    <w:rsid w:val="001E2082"/>
    <w:rsid w:val="001E345C"/>
    <w:rsid w:val="001E36A1"/>
    <w:rsid w:val="001E3C5B"/>
    <w:rsid w:val="001E4B78"/>
    <w:rsid w:val="001E4EA4"/>
    <w:rsid w:val="001E54E0"/>
    <w:rsid w:val="001E6328"/>
    <w:rsid w:val="001E67CA"/>
    <w:rsid w:val="001E7014"/>
    <w:rsid w:val="001E7E3C"/>
    <w:rsid w:val="001F00A3"/>
    <w:rsid w:val="001F09F1"/>
    <w:rsid w:val="001F1E9F"/>
    <w:rsid w:val="001F2574"/>
    <w:rsid w:val="001F272F"/>
    <w:rsid w:val="001F3A19"/>
    <w:rsid w:val="001F4519"/>
    <w:rsid w:val="001F55AE"/>
    <w:rsid w:val="001F561D"/>
    <w:rsid w:val="001F5E51"/>
    <w:rsid w:val="001F74C5"/>
    <w:rsid w:val="00200F41"/>
    <w:rsid w:val="00201F5E"/>
    <w:rsid w:val="00203AFF"/>
    <w:rsid w:val="002040B4"/>
    <w:rsid w:val="002053B4"/>
    <w:rsid w:val="0020590E"/>
    <w:rsid w:val="00206122"/>
    <w:rsid w:val="00206382"/>
    <w:rsid w:val="00207E64"/>
    <w:rsid w:val="00211549"/>
    <w:rsid w:val="002128A2"/>
    <w:rsid w:val="00215757"/>
    <w:rsid w:val="00216E48"/>
    <w:rsid w:val="00220C3E"/>
    <w:rsid w:val="00220CA0"/>
    <w:rsid w:val="002217EF"/>
    <w:rsid w:val="00221AFB"/>
    <w:rsid w:val="00222F27"/>
    <w:rsid w:val="0022443E"/>
    <w:rsid w:val="00230C7C"/>
    <w:rsid w:val="0023111F"/>
    <w:rsid w:val="00231356"/>
    <w:rsid w:val="002315B5"/>
    <w:rsid w:val="00232A57"/>
    <w:rsid w:val="00234467"/>
    <w:rsid w:val="00234F63"/>
    <w:rsid w:val="00235D0C"/>
    <w:rsid w:val="002376A4"/>
    <w:rsid w:val="00237D8D"/>
    <w:rsid w:val="00241DA2"/>
    <w:rsid w:val="00242CB5"/>
    <w:rsid w:val="002433B5"/>
    <w:rsid w:val="00244AE2"/>
    <w:rsid w:val="00244CED"/>
    <w:rsid w:val="002457A8"/>
    <w:rsid w:val="00247F8F"/>
    <w:rsid w:val="00247FEE"/>
    <w:rsid w:val="00250238"/>
    <w:rsid w:val="00250E7D"/>
    <w:rsid w:val="00253670"/>
    <w:rsid w:val="0025458A"/>
    <w:rsid w:val="002547DE"/>
    <w:rsid w:val="00255915"/>
    <w:rsid w:val="002565D5"/>
    <w:rsid w:val="00261A3B"/>
    <w:rsid w:val="002622C0"/>
    <w:rsid w:val="0026618A"/>
    <w:rsid w:val="00266948"/>
    <w:rsid w:val="00266F3E"/>
    <w:rsid w:val="00267403"/>
    <w:rsid w:val="002707FE"/>
    <w:rsid w:val="00270894"/>
    <w:rsid w:val="00272347"/>
    <w:rsid w:val="0027284B"/>
    <w:rsid w:val="002733B8"/>
    <w:rsid w:val="00273D1D"/>
    <w:rsid w:val="00275607"/>
    <w:rsid w:val="00276087"/>
    <w:rsid w:val="00277129"/>
    <w:rsid w:val="002778AE"/>
    <w:rsid w:val="00280FD9"/>
    <w:rsid w:val="00281D73"/>
    <w:rsid w:val="0028269A"/>
    <w:rsid w:val="00283590"/>
    <w:rsid w:val="00285018"/>
    <w:rsid w:val="002854CE"/>
    <w:rsid w:val="00285D17"/>
    <w:rsid w:val="00286335"/>
    <w:rsid w:val="0028648E"/>
    <w:rsid w:val="00286973"/>
    <w:rsid w:val="00287A74"/>
    <w:rsid w:val="00287AA8"/>
    <w:rsid w:val="0029048D"/>
    <w:rsid w:val="00291040"/>
    <w:rsid w:val="0029160F"/>
    <w:rsid w:val="00291764"/>
    <w:rsid w:val="00291DD3"/>
    <w:rsid w:val="00292C59"/>
    <w:rsid w:val="00294E70"/>
    <w:rsid w:val="002953CB"/>
    <w:rsid w:val="002969CF"/>
    <w:rsid w:val="002A1924"/>
    <w:rsid w:val="002A29B8"/>
    <w:rsid w:val="002A54C0"/>
    <w:rsid w:val="002A653C"/>
    <w:rsid w:val="002A66C1"/>
    <w:rsid w:val="002A6798"/>
    <w:rsid w:val="002A7164"/>
    <w:rsid w:val="002A7420"/>
    <w:rsid w:val="002A76A3"/>
    <w:rsid w:val="002A76EE"/>
    <w:rsid w:val="002A7FDF"/>
    <w:rsid w:val="002B0F12"/>
    <w:rsid w:val="002B1308"/>
    <w:rsid w:val="002B1819"/>
    <w:rsid w:val="002B3DA6"/>
    <w:rsid w:val="002B3E5D"/>
    <w:rsid w:val="002B4554"/>
    <w:rsid w:val="002B4E21"/>
    <w:rsid w:val="002B5861"/>
    <w:rsid w:val="002B59E5"/>
    <w:rsid w:val="002B65F1"/>
    <w:rsid w:val="002B69FE"/>
    <w:rsid w:val="002B6E1F"/>
    <w:rsid w:val="002B7FB8"/>
    <w:rsid w:val="002C01F3"/>
    <w:rsid w:val="002C04AA"/>
    <w:rsid w:val="002C04DF"/>
    <w:rsid w:val="002C1EF2"/>
    <w:rsid w:val="002C221B"/>
    <w:rsid w:val="002C2960"/>
    <w:rsid w:val="002C2C12"/>
    <w:rsid w:val="002C362F"/>
    <w:rsid w:val="002C36B9"/>
    <w:rsid w:val="002C400F"/>
    <w:rsid w:val="002C42B5"/>
    <w:rsid w:val="002C4614"/>
    <w:rsid w:val="002C5B88"/>
    <w:rsid w:val="002C72D8"/>
    <w:rsid w:val="002D052B"/>
    <w:rsid w:val="002D09C9"/>
    <w:rsid w:val="002D11FA"/>
    <w:rsid w:val="002D1A87"/>
    <w:rsid w:val="002D26AC"/>
    <w:rsid w:val="002D415F"/>
    <w:rsid w:val="002D6FE8"/>
    <w:rsid w:val="002D74F4"/>
    <w:rsid w:val="002E0DDF"/>
    <w:rsid w:val="002E2906"/>
    <w:rsid w:val="002E32FC"/>
    <w:rsid w:val="002E501D"/>
    <w:rsid w:val="002E5635"/>
    <w:rsid w:val="002E648E"/>
    <w:rsid w:val="002E64C3"/>
    <w:rsid w:val="002E665B"/>
    <w:rsid w:val="002E6A2C"/>
    <w:rsid w:val="002F0A90"/>
    <w:rsid w:val="002F1850"/>
    <w:rsid w:val="002F1D8C"/>
    <w:rsid w:val="002F21C1"/>
    <w:rsid w:val="002F21DA"/>
    <w:rsid w:val="002F2DBA"/>
    <w:rsid w:val="002F3F61"/>
    <w:rsid w:val="002F480D"/>
    <w:rsid w:val="002F5938"/>
    <w:rsid w:val="002F6C78"/>
    <w:rsid w:val="00300421"/>
    <w:rsid w:val="00301F39"/>
    <w:rsid w:val="003043F6"/>
    <w:rsid w:val="003055A7"/>
    <w:rsid w:val="00305981"/>
    <w:rsid w:val="00306431"/>
    <w:rsid w:val="003069E5"/>
    <w:rsid w:val="00306EB2"/>
    <w:rsid w:val="00312029"/>
    <w:rsid w:val="0031244C"/>
    <w:rsid w:val="00312DC1"/>
    <w:rsid w:val="00312FEB"/>
    <w:rsid w:val="00314545"/>
    <w:rsid w:val="00314CDE"/>
    <w:rsid w:val="00315DF7"/>
    <w:rsid w:val="00315FEC"/>
    <w:rsid w:val="003162F8"/>
    <w:rsid w:val="00317D30"/>
    <w:rsid w:val="003216E0"/>
    <w:rsid w:val="00323ABE"/>
    <w:rsid w:val="003244BA"/>
    <w:rsid w:val="00325926"/>
    <w:rsid w:val="00327A8A"/>
    <w:rsid w:val="00327C38"/>
    <w:rsid w:val="00327D4F"/>
    <w:rsid w:val="0033175F"/>
    <w:rsid w:val="00332185"/>
    <w:rsid w:val="00332925"/>
    <w:rsid w:val="003330F9"/>
    <w:rsid w:val="00333CFC"/>
    <w:rsid w:val="00334BF2"/>
    <w:rsid w:val="00335E40"/>
    <w:rsid w:val="00336610"/>
    <w:rsid w:val="00336823"/>
    <w:rsid w:val="00337079"/>
    <w:rsid w:val="0033720A"/>
    <w:rsid w:val="00337D32"/>
    <w:rsid w:val="00340577"/>
    <w:rsid w:val="003411D0"/>
    <w:rsid w:val="00341590"/>
    <w:rsid w:val="0034315D"/>
    <w:rsid w:val="00343F73"/>
    <w:rsid w:val="00345060"/>
    <w:rsid w:val="00345ACD"/>
    <w:rsid w:val="00345CA9"/>
    <w:rsid w:val="00346215"/>
    <w:rsid w:val="00346328"/>
    <w:rsid w:val="003507BD"/>
    <w:rsid w:val="0035099A"/>
    <w:rsid w:val="00351EBA"/>
    <w:rsid w:val="0035323B"/>
    <w:rsid w:val="003534C1"/>
    <w:rsid w:val="0035394C"/>
    <w:rsid w:val="00354A92"/>
    <w:rsid w:val="00354C26"/>
    <w:rsid w:val="00354D30"/>
    <w:rsid w:val="00354E9F"/>
    <w:rsid w:val="003551D6"/>
    <w:rsid w:val="0035549A"/>
    <w:rsid w:val="00357037"/>
    <w:rsid w:val="003573BF"/>
    <w:rsid w:val="003606D9"/>
    <w:rsid w:val="003609D2"/>
    <w:rsid w:val="00362550"/>
    <w:rsid w:val="0036287D"/>
    <w:rsid w:val="00362AAF"/>
    <w:rsid w:val="00362ACC"/>
    <w:rsid w:val="00363F22"/>
    <w:rsid w:val="0036537C"/>
    <w:rsid w:val="00365938"/>
    <w:rsid w:val="00365A21"/>
    <w:rsid w:val="003663CF"/>
    <w:rsid w:val="00367287"/>
    <w:rsid w:val="00367DC3"/>
    <w:rsid w:val="003715EA"/>
    <w:rsid w:val="003737C5"/>
    <w:rsid w:val="00373D24"/>
    <w:rsid w:val="003749E6"/>
    <w:rsid w:val="003752E6"/>
    <w:rsid w:val="00375564"/>
    <w:rsid w:val="0037596B"/>
    <w:rsid w:val="0037635D"/>
    <w:rsid w:val="00383191"/>
    <w:rsid w:val="00383490"/>
    <w:rsid w:val="003854BC"/>
    <w:rsid w:val="00385A00"/>
    <w:rsid w:val="00385E9C"/>
    <w:rsid w:val="0038664F"/>
    <w:rsid w:val="00386DED"/>
    <w:rsid w:val="00386E44"/>
    <w:rsid w:val="00391013"/>
    <w:rsid w:val="003910DB"/>
    <w:rsid w:val="003912E7"/>
    <w:rsid w:val="0039278E"/>
    <w:rsid w:val="00393947"/>
    <w:rsid w:val="00395C3D"/>
    <w:rsid w:val="0039662B"/>
    <w:rsid w:val="00397086"/>
    <w:rsid w:val="003974FC"/>
    <w:rsid w:val="00397739"/>
    <w:rsid w:val="003A0A5D"/>
    <w:rsid w:val="003A10EA"/>
    <w:rsid w:val="003A1DD6"/>
    <w:rsid w:val="003A2275"/>
    <w:rsid w:val="003A2546"/>
    <w:rsid w:val="003A28FF"/>
    <w:rsid w:val="003A2BA3"/>
    <w:rsid w:val="003A3FFC"/>
    <w:rsid w:val="003A4E28"/>
    <w:rsid w:val="003A6A4F"/>
    <w:rsid w:val="003A7088"/>
    <w:rsid w:val="003A7CAA"/>
    <w:rsid w:val="003B00DF"/>
    <w:rsid w:val="003B04C0"/>
    <w:rsid w:val="003B0D3D"/>
    <w:rsid w:val="003B0D55"/>
    <w:rsid w:val="003B1275"/>
    <w:rsid w:val="003B1778"/>
    <w:rsid w:val="003B1FCF"/>
    <w:rsid w:val="003B3E30"/>
    <w:rsid w:val="003B4595"/>
    <w:rsid w:val="003B474D"/>
    <w:rsid w:val="003B6395"/>
    <w:rsid w:val="003B7255"/>
    <w:rsid w:val="003B7B58"/>
    <w:rsid w:val="003B7F37"/>
    <w:rsid w:val="003C0367"/>
    <w:rsid w:val="003C061A"/>
    <w:rsid w:val="003C11CB"/>
    <w:rsid w:val="003C1564"/>
    <w:rsid w:val="003C331E"/>
    <w:rsid w:val="003C4532"/>
    <w:rsid w:val="003C4EA9"/>
    <w:rsid w:val="003C64BC"/>
    <w:rsid w:val="003C6CA2"/>
    <w:rsid w:val="003C75F3"/>
    <w:rsid w:val="003C78A3"/>
    <w:rsid w:val="003C7C9B"/>
    <w:rsid w:val="003D050A"/>
    <w:rsid w:val="003D0DF5"/>
    <w:rsid w:val="003D23BE"/>
    <w:rsid w:val="003D2EAB"/>
    <w:rsid w:val="003D3A27"/>
    <w:rsid w:val="003D47E1"/>
    <w:rsid w:val="003D4A68"/>
    <w:rsid w:val="003D6764"/>
    <w:rsid w:val="003D798C"/>
    <w:rsid w:val="003E01AA"/>
    <w:rsid w:val="003E1867"/>
    <w:rsid w:val="003E1C38"/>
    <w:rsid w:val="003E373F"/>
    <w:rsid w:val="003E4606"/>
    <w:rsid w:val="003E5729"/>
    <w:rsid w:val="003E5E74"/>
    <w:rsid w:val="003F0D33"/>
    <w:rsid w:val="003F2326"/>
    <w:rsid w:val="003F2F1A"/>
    <w:rsid w:val="003F4896"/>
    <w:rsid w:val="003F4B30"/>
    <w:rsid w:val="003F4EE0"/>
    <w:rsid w:val="003F57F7"/>
    <w:rsid w:val="003F5C45"/>
    <w:rsid w:val="003F661D"/>
    <w:rsid w:val="003F6CF5"/>
    <w:rsid w:val="003F75EE"/>
    <w:rsid w:val="004002CF"/>
    <w:rsid w:val="00400C00"/>
    <w:rsid w:val="0040128E"/>
    <w:rsid w:val="0040164E"/>
    <w:rsid w:val="00402153"/>
    <w:rsid w:val="00402450"/>
    <w:rsid w:val="00402729"/>
    <w:rsid w:val="0040275B"/>
    <w:rsid w:val="00402FC1"/>
    <w:rsid w:val="004036D3"/>
    <w:rsid w:val="0040662E"/>
    <w:rsid w:val="004076F9"/>
    <w:rsid w:val="0041165C"/>
    <w:rsid w:val="00411D1D"/>
    <w:rsid w:val="00413B12"/>
    <w:rsid w:val="00414352"/>
    <w:rsid w:val="00416375"/>
    <w:rsid w:val="0041706C"/>
    <w:rsid w:val="0041778F"/>
    <w:rsid w:val="00417D74"/>
    <w:rsid w:val="00420F71"/>
    <w:rsid w:val="004230DB"/>
    <w:rsid w:val="004234D1"/>
    <w:rsid w:val="00425082"/>
    <w:rsid w:val="004256D2"/>
    <w:rsid w:val="004269C7"/>
    <w:rsid w:val="00426C4C"/>
    <w:rsid w:val="0042757F"/>
    <w:rsid w:val="00430783"/>
    <w:rsid w:val="00431DEB"/>
    <w:rsid w:val="00432D1E"/>
    <w:rsid w:val="00433EE0"/>
    <w:rsid w:val="00433FEF"/>
    <w:rsid w:val="004361F0"/>
    <w:rsid w:val="00437523"/>
    <w:rsid w:val="004413D5"/>
    <w:rsid w:val="0044159F"/>
    <w:rsid w:val="004418BE"/>
    <w:rsid w:val="004420C5"/>
    <w:rsid w:val="004423FA"/>
    <w:rsid w:val="00442C37"/>
    <w:rsid w:val="004430C8"/>
    <w:rsid w:val="00443CBD"/>
    <w:rsid w:val="00445C04"/>
    <w:rsid w:val="004465AB"/>
    <w:rsid w:val="00446B29"/>
    <w:rsid w:val="00447312"/>
    <w:rsid w:val="004507A9"/>
    <w:rsid w:val="004509BA"/>
    <w:rsid w:val="00450FAA"/>
    <w:rsid w:val="00452813"/>
    <w:rsid w:val="004537F4"/>
    <w:rsid w:val="00453E85"/>
    <w:rsid w:val="00453F9A"/>
    <w:rsid w:val="00456356"/>
    <w:rsid w:val="00456D0B"/>
    <w:rsid w:val="004606D4"/>
    <w:rsid w:val="00461AEF"/>
    <w:rsid w:val="004627A1"/>
    <w:rsid w:val="00462EFF"/>
    <w:rsid w:val="00463BC9"/>
    <w:rsid w:val="00464274"/>
    <w:rsid w:val="00464827"/>
    <w:rsid w:val="00465327"/>
    <w:rsid w:val="0046687D"/>
    <w:rsid w:val="00466E45"/>
    <w:rsid w:val="004712E8"/>
    <w:rsid w:val="00471E91"/>
    <w:rsid w:val="00473A59"/>
    <w:rsid w:val="00474675"/>
    <w:rsid w:val="0047470C"/>
    <w:rsid w:val="00475443"/>
    <w:rsid w:val="004758C4"/>
    <w:rsid w:val="00476162"/>
    <w:rsid w:val="00477BB0"/>
    <w:rsid w:val="0048007E"/>
    <w:rsid w:val="00480874"/>
    <w:rsid w:val="00481461"/>
    <w:rsid w:val="0048572A"/>
    <w:rsid w:val="004863F9"/>
    <w:rsid w:val="004867EF"/>
    <w:rsid w:val="0048742F"/>
    <w:rsid w:val="004879EB"/>
    <w:rsid w:val="0049148B"/>
    <w:rsid w:val="00493AD0"/>
    <w:rsid w:val="004964FE"/>
    <w:rsid w:val="00497426"/>
    <w:rsid w:val="004975E6"/>
    <w:rsid w:val="004A056E"/>
    <w:rsid w:val="004A1513"/>
    <w:rsid w:val="004A35F9"/>
    <w:rsid w:val="004A374F"/>
    <w:rsid w:val="004A440F"/>
    <w:rsid w:val="004A51F2"/>
    <w:rsid w:val="004A667E"/>
    <w:rsid w:val="004A6B78"/>
    <w:rsid w:val="004A7933"/>
    <w:rsid w:val="004B041C"/>
    <w:rsid w:val="004B165E"/>
    <w:rsid w:val="004B207F"/>
    <w:rsid w:val="004B230D"/>
    <w:rsid w:val="004B23D2"/>
    <w:rsid w:val="004B24C1"/>
    <w:rsid w:val="004B2717"/>
    <w:rsid w:val="004B2CB9"/>
    <w:rsid w:val="004B3091"/>
    <w:rsid w:val="004B5A83"/>
    <w:rsid w:val="004C072D"/>
    <w:rsid w:val="004C10EC"/>
    <w:rsid w:val="004C152B"/>
    <w:rsid w:val="004C292F"/>
    <w:rsid w:val="004C409E"/>
    <w:rsid w:val="004C509E"/>
    <w:rsid w:val="004C50F3"/>
    <w:rsid w:val="004C542F"/>
    <w:rsid w:val="004C5AE8"/>
    <w:rsid w:val="004C682C"/>
    <w:rsid w:val="004C793A"/>
    <w:rsid w:val="004D0E19"/>
    <w:rsid w:val="004D14A4"/>
    <w:rsid w:val="004D1EE0"/>
    <w:rsid w:val="004D2110"/>
    <w:rsid w:val="004D292C"/>
    <w:rsid w:val="004D3BC4"/>
    <w:rsid w:val="004D46C7"/>
    <w:rsid w:val="004D4890"/>
    <w:rsid w:val="004D611F"/>
    <w:rsid w:val="004D6A7F"/>
    <w:rsid w:val="004D76E6"/>
    <w:rsid w:val="004E24E4"/>
    <w:rsid w:val="004E45B8"/>
    <w:rsid w:val="004E4855"/>
    <w:rsid w:val="004E5113"/>
    <w:rsid w:val="004E65BC"/>
    <w:rsid w:val="004E680B"/>
    <w:rsid w:val="004F0158"/>
    <w:rsid w:val="004F04CE"/>
    <w:rsid w:val="004F3A18"/>
    <w:rsid w:val="004F4729"/>
    <w:rsid w:val="004F55B5"/>
    <w:rsid w:val="004F5C35"/>
    <w:rsid w:val="004F727B"/>
    <w:rsid w:val="005008DC"/>
    <w:rsid w:val="00500E0C"/>
    <w:rsid w:val="00503E88"/>
    <w:rsid w:val="00504233"/>
    <w:rsid w:val="00504CC8"/>
    <w:rsid w:val="0050686A"/>
    <w:rsid w:val="00506A05"/>
    <w:rsid w:val="0050793A"/>
    <w:rsid w:val="00507D65"/>
    <w:rsid w:val="00510280"/>
    <w:rsid w:val="00510FAF"/>
    <w:rsid w:val="005111E0"/>
    <w:rsid w:val="00511C06"/>
    <w:rsid w:val="005132C8"/>
    <w:rsid w:val="005137F7"/>
    <w:rsid w:val="00513BB7"/>
    <w:rsid w:val="00513D73"/>
    <w:rsid w:val="00513E7B"/>
    <w:rsid w:val="0051486D"/>
    <w:rsid w:val="00514A43"/>
    <w:rsid w:val="00517437"/>
    <w:rsid w:val="005174E5"/>
    <w:rsid w:val="00517A07"/>
    <w:rsid w:val="00520CAB"/>
    <w:rsid w:val="00522393"/>
    <w:rsid w:val="00522620"/>
    <w:rsid w:val="00523D9E"/>
    <w:rsid w:val="00524615"/>
    <w:rsid w:val="00524A4B"/>
    <w:rsid w:val="00525656"/>
    <w:rsid w:val="00525767"/>
    <w:rsid w:val="0052651C"/>
    <w:rsid w:val="00526DDE"/>
    <w:rsid w:val="005270D0"/>
    <w:rsid w:val="0052719C"/>
    <w:rsid w:val="0053008C"/>
    <w:rsid w:val="00531496"/>
    <w:rsid w:val="00532DD3"/>
    <w:rsid w:val="00533B94"/>
    <w:rsid w:val="0053478B"/>
    <w:rsid w:val="00534C02"/>
    <w:rsid w:val="00535244"/>
    <w:rsid w:val="0053553D"/>
    <w:rsid w:val="005363B4"/>
    <w:rsid w:val="00537302"/>
    <w:rsid w:val="005374C4"/>
    <w:rsid w:val="0054264B"/>
    <w:rsid w:val="00542CAE"/>
    <w:rsid w:val="00543417"/>
    <w:rsid w:val="00543786"/>
    <w:rsid w:val="00543B6A"/>
    <w:rsid w:val="00545484"/>
    <w:rsid w:val="00545699"/>
    <w:rsid w:val="00545D6F"/>
    <w:rsid w:val="00546FC3"/>
    <w:rsid w:val="00552185"/>
    <w:rsid w:val="00552588"/>
    <w:rsid w:val="005533D7"/>
    <w:rsid w:val="005535EF"/>
    <w:rsid w:val="00553655"/>
    <w:rsid w:val="00554792"/>
    <w:rsid w:val="0055498E"/>
    <w:rsid w:val="005604C5"/>
    <w:rsid w:val="00560CEB"/>
    <w:rsid w:val="0056190D"/>
    <w:rsid w:val="00562A35"/>
    <w:rsid w:val="00563117"/>
    <w:rsid w:val="005641C1"/>
    <w:rsid w:val="0056447B"/>
    <w:rsid w:val="00564686"/>
    <w:rsid w:val="005651F1"/>
    <w:rsid w:val="00567D6C"/>
    <w:rsid w:val="005703DE"/>
    <w:rsid w:val="0057047E"/>
    <w:rsid w:val="00570D5B"/>
    <w:rsid w:val="00570EA4"/>
    <w:rsid w:val="00571446"/>
    <w:rsid w:val="0057159D"/>
    <w:rsid w:val="005727DD"/>
    <w:rsid w:val="00577A1B"/>
    <w:rsid w:val="00581297"/>
    <w:rsid w:val="005818C6"/>
    <w:rsid w:val="005824BE"/>
    <w:rsid w:val="00582F63"/>
    <w:rsid w:val="005830DA"/>
    <w:rsid w:val="00583A97"/>
    <w:rsid w:val="0058464E"/>
    <w:rsid w:val="005865C8"/>
    <w:rsid w:val="0058691B"/>
    <w:rsid w:val="00586B79"/>
    <w:rsid w:val="00587CDF"/>
    <w:rsid w:val="0059023A"/>
    <w:rsid w:val="00592110"/>
    <w:rsid w:val="00593ED0"/>
    <w:rsid w:val="0059401B"/>
    <w:rsid w:val="00594FF4"/>
    <w:rsid w:val="00595330"/>
    <w:rsid w:val="005969C9"/>
    <w:rsid w:val="005A01CB"/>
    <w:rsid w:val="005A041E"/>
    <w:rsid w:val="005A0C00"/>
    <w:rsid w:val="005A45FB"/>
    <w:rsid w:val="005A4D51"/>
    <w:rsid w:val="005A4E0B"/>
    <w:rsid w:val="005A58FF"/>
    <w:rsid w:val="005A5EAF"/>
    <w:rsid w:val="005A5F82"/>
    <w:rsid w:val="005A618C"/>
    <w:rsid w:val="005A64C0"/>
    <w:rsid w:val="005A754D"/>
    <w:rsid w:val="005A7AC6"/>
    <w:rsid w:val="005A7B36"/>
    <w:rsid w:val="005B0031"/>
    <w:rsid w:val="005B06A1"/>
    <w:rsid w:val="005B3C11"/>
    <w:rsid w:val="005B3D71"/>
    <w:rsid w:val="005B52EA"/>
    <w:rsid w:val="005B60CC"/>
    <w:rsid w:val="005B610C"/>
    <w:rsid w:val="005B61D1"/>
    <w:rsid w:val="005B7122"/>
    <w:rsid w:val="005C0131"/>
    <w:rsid w:val="005C0402"/>
    <w:rsid w:val="005C0645"/>
    <w:rsid w:val="005C09B7"/>
    <w:rsid w:val="005C1C28"/>
    <w:rsid w:val="005C2999"/>
    <w:rsid w:val="005C2E9C"/>
    <w:rsid w:val="005C40EE"/>
    <w:rsid w:val="005C44CA"/>
    <w:rsid w:val="005C5F68"/>
    <w:rsid w:val="005C6DB5"/>
    <w:rsid w:val="005C6FFA"/>
    <w:rsid w:val="005D0252"/>
    <w:rsid w:val="005D1A26"/>
    <w:rsid w:val="005D578F"/>
    <w:rsid w:val="005D5AD1"/>
    <w:rsid w:val="005D5EFE"/>
    <w:rsid w:val="005D632A"/>
    <w:rsid w:val="005E0110"/>
    <w:rsid w:val="005E0C45"/>
    <w:rsid w:val="005E16CD"/>
    <w:rsid w:val="005E19E7"/>
    <w:rsid w:val="005E2680"/>
    <w:rsid w:val="005E269A"/>
    <w:rsid w:val="005E37EE"/>
    <w:rsid w:val="005E3B42"/>
    <w:rsid w:val="005E5BBF"/>
    <w:rsid w:val="005F00B7"/>
    <w:rsid w:val="005F0C8D"/>
    <w:rsid w:val="005F1781"/>
    <w:rsid w:val="005F2218"/>
    <w:rsid w:val="005F36F5"/>
    <w:rsid w:val="005F38E8"/>
    <w:rsid w:val="005F5AA2"/>
    <w:rsid w:val="005F61DC"/>
    <w:rsid w:val="0060031B"/>
    <w:rsid w:val="0060070E"/>
    <w:rsid w:val="006007E0"/>
    <w:rsid w:val="00600F1A"/>
    <w:rsid w:val="006014B6"/>
    <w:rsid w:val="00602A04"/>
    <w:rsid w:val="00603B48"/>
    <w:rsid w:val="00604093"/>
    <w:rsid w:val="006054F4"/>
    <w:rsid w:val="0060591B"/>
    <w:rsid w:val="00606497"/>
    <w:rsid w:val="006076C8"/>
    <w:rsid w:val="00611C56"/>
    <w:rsid w:val="00612FF4"/>
    <w:rsid w:val="00615511"/>
    <w:rsid w:val="0061598E"/>
    <w:rsid w:val="0061716C"/>
    <w:rsid w:val="00620285"/>
    <w:rsid w:val="00622824"/>
    <w:rsid w:val="006243A1"/>
    <w:rsid w:val="00626A38"/>
    <w:rsid w:val="00627949"/>
    <w:rsid w:val="006306D9"/>
    <w:rsid w:val="00630B1B"/>
    <w:rsid w:val="00632BA0"/>
    <w:rsid w:val="00632D2B"/>
    <w:rsid w:val="00632E56"/>
    <w:rsid w:val="00633241"/>
    <w:rsid w:val="006354B3"/>
    <w:rsid w:val="00635CBA"/>
    <w:rsid w:val="00635D3E"/>
    <w:rsid w:val="00635E8D"/>
    <w:rsid w:val="006365BA"/>
    <w:rsid w:val="006367D9"/>
    <w:rsid w:val="00637589"/>
    <w:rsid w:val="0064095D"/>
    <w:rsid w:val="00640A30"/>
    <w:rsid w:val="00640B32"/>
    <w:rsid w:val="00640DD7"/>
    <w:rsid w:val="006425FC"/>
    <w:rsid w:val="00642A66"/>
    <w:rsid w:val="0064338B"/>
    <w:rsid w:val="006438A2"/>
    <w:rsid w:val="00643DE3"/>
    <w:rsid w:val="006458DA"/>
    <w:rsid w:val="00646542"/>
    <w:rsid w:val="00646BB7"/>
    <w:rsid w:val="00647D79"/>
    <w:rsid w:val="006504F4"/>
    <w:rsid w:val="00651087"/>
    <w:rsid w:val="0065122C"/>
    <w:rsid w:val="00652167"/>
    <w:rsid w:val="00653539"/>
    <w:rsid w:val="0065432C"/>
    <w:rsid w:val="00654BC9"/>
    <w:rsid w:val="00654C33"/>
    <w:rsid w:val="006552FD"/>
    <w:rsid w:val="00655519"/>
    <w:rsid w:val="00656E13"/>
    <w:rsid w:val="0066016D"/>
    <w:rsid w:val="006606BA"/>
    <w:rsid w:val="00661A6C"/>
    <w:rsid w:val="00661E8C"/>
    <w:rsid w:val="00662117"/>
    <w:rsid w:val="00662372"/>
    <w:rsid w:val="00663AF3"/>
    <w:rsid w:val="00664633"/>
    <w:rsid w:val="00664F7B"/>
    <w:rsid w:val="0066540C"/>
    <w:rsid w:val="00666B6C"/>
    <w:rsid w:val="00666E1C"/>
    <w:rsid w:val="00667A79"/>
    <w:rsid w:val="00670163"/>
    <w:rsid w:val="006708EF"/>
    <w:rsid w:val="00670D2A"/>
    <w:rsid w:val="00670F1F"/>
    <w:rsid w:val="006719BF"/>
    <w:rsid w:val="006722B8"/>
    <w:rsid w:val="00673A3C"/>
    <w:rsid w:val="00673C13"/>
    <w:rsid w:val="00674BE8"/>
    <w:rsid w:val="00674DA4"/>
    <w:rsid w:val="0067565E"/>
    <w:rsid w:val="00675842"/>
    <w:rsid w:val="00676006"/>
    <w:rsid w:val="006766AB"/>
    <w:rsid w:val="00677012"/>
    <w:rsid w:val="00677957"/>
    <w:rsid w:val="00680E0F"/>
    <w:rsid w:val="006814E1"/>
    <w:rsid w:val="00681D73"/>
    <w:rsid w:val="00682171"/>
    <w:rsid w:val="00682639"/>
    <w:rsid w:val="00682682"/>
    <w:rsid w:val="00682702"/>
    <w:rsid w:val="006844C3"/>
    <w:rsid w:val="0068496B"/>
    <w:rsid w:val="00684B98"/>
    <w:rsid w:val="00685690"/>
    <w:rsid w:val="0068687E"/>
    <w:rsid w:val="0069082C"/>
    <w:rsid w:val="00690D71"/>
    <w:rsid w:val="00692368"/>
    <w:rsid w:val="00692CFD"/>
    <w:rsid w:val="006951A5"/>
    <w:rsid w:val="00695ABF"/>
    <w:rsid w:val="00696201"/>
    <w:rsid w:val="00696C8F"/>
    <w:rsid w:val="006971A8"/>
    <w:rsid w:val="006975DF"/>
    <w:rsid w:val="00697F16"/>
    <w:rsid w:val="006A25B3"/>
    <w:rsid w:val="006A2EBC"/>
    <w:rsid w:val="006A2FEA"/>
    <w:rsid w:val="006A4090"/>
    <w:rsid w:val="006A40C9"/>
    <w:rsid w:val="006A41FA"/>
    <w:rsid w:val="006A4AD5"/>
    <w:rsid w:val="006A561A"/>
    <w:rsid w:val="006A5EA0"/>
    <w:rsid w:val="006A6D7A"/>
    <w:rsid w:val="006A783B"/>
    <w:rsid w:val="006A7A2B"/>
    <w:rsid w:val="006A7B33"/>
    <w:rsid w:val="006A7B47"/>
    <w:rsid w:val="006A7B85"/>
    <w:rsid w:val="006A7C39"/>
    <w:rsid w:val="006B0370"/>
    <w:rsid w:val="006B03F1"/>
    <w:rsid w:val="006B11D7"/>
    <w:rsid w:val="006B1C08"/>
    <w:rsid w:val="006B4E13"/>
    <w:rsid w:val="006B67BF"/>
    <w:rsid w:val="006B735A"/>
    <w:rsid w:val="006B75DD"/>
    <w:rsid w:val="006C01CB"/>
    <w:rsid w:val="006C3354"/>
    <w:rsid w:val="006C3EBA"/>
    <w:rsid w:val="006C3FE1"/>
    <w:rsid w:val="006C43D2"/>
    <w:rsid w:val="006C510C"/>
    <w:rsid w:val="006C67E0"/>
    <w:rsid w:val="006C6A0E"/>
    <w:rsid w:val="006C78E5"/>
    <w:rsid w:val="006C7ABA"/>
    <w:rsid w:val="006C7D62"/>
    <w:rsid w:val="006D027A"/>
    <w:rsid w:val="006D0C5D"/>
    <w:rsid w:val="006D0D60"/>
    <w:rsid w:val="006D1122"/>
    <w:rsid w:val="006D1311"/>
    <w:rsid w:val="006D365D"/>
    <w:rsid w:val="006D39E1"/>
    <w:rsid w:val="006D3C00"/>
    <w:rsid w:val="006D5470"/>
    <w:rsid w:val="006D5A8B"/>
    <w:rsid w:val="006D6960"/>
    <w:rsid w:val="006D6980"/>
    <w:rsid w:val="006E078D"/>
    <w:rsid w:val="006E2674"/>
    <w:rsid w:val="006E32B6"/>
    <w:rsid w:val="006E3675"/>
    <w:rsid w:val="006E4A7F"/>
    <w:rsid w:val="006E4E01"/>
    <w:rsid w:val="006E6108"/>
    <w:rsid w:val="006E6465"/>
    <w:rsid w:val="006F1AB4"/>
    <w:rsid w:val="006F1D4E"/>
    <w:rsid w:val="006F3E52"/>
    <w:rsid w:val="006F3E57"/>
    <w:rsid w:val="006F5CA7"/>
    <w:rsid w:val="006F5CDD"/>
    <w:rsid w:val="006F5D5A"/>
    <w:rsid w:val="007008D8"/>
    <w:rsid w:val="00701220"/>
    <w:rsid w:val="0070337F"/>
    <w:rsid w:val="00703951"/>
    <w:rsid w:val="00703A86"/>
    <w:rsid w:val="00703E29"/>
    <w:rsid w:val="00704DF6"/>
    <w:rsid w:val="0070565F"/>
    <w:rsid w:val="00705BEF"/>
    <w:rsid w:val="0070651C"/>
    <w:rsid w:val="00706815"/>
    <w:rsid w:val="0070762A"/>
    <w:rsid w:val="0070798E"/>
    <w:rsid w:val="00710EA6"/>
    <w:rsid w:val="007118FD"/>
    <w:rsid w:val="00712466"/>
    <w:rsid w:val="00712A0E"/>
    <w:rsid w:val="007132A3"/>
    <w:rsid w:val="0071331E"/>
    <w:rsid w:val="007137DE"/>
    <w:rsid w:val="00715ADF"/>
    <w:rsid w:val="00715CED"/>
    <w:rsid w:val="007161C0"/>
    <w:rsid w:val="00716421"/>
    <w:rsid w:val="00717967"/>
    <w:rsid w:val="00717C1E"/>
    <w:rsid w:val="00721541"/>
    <w:rsid w:val="00724EFB"/>
    <w:rsid w:val="00725A0B"/>
    <w:rsid w:val="007269FA"/>
    <w:rsid w:val="00726BA1"/>
    <w:rsid w:val="0073019D"/>
    <w:rsid w:val="007336F9"/>
    <w:rsid w:val="0073456E"/>
    <w:rsid w:val="007345A7"/>
    <w:rsid w:val="00735D51"/>
    <w:rsid w:val="00737430"/>
    <w:rsid w:val="007376B8"/>
    <w:rsid w:val="007415FD"/>
    <w:rsid w:val="007419C3"/>
    <w:rsid w:val="0074209A"/>
    <w:rsid w:val="0074299E"/>
    <w:rsid w:val="00743446"/>
    <w:rsid w:val="00743B6F"/>
    <w:rsid w:val="00743C13"/>
    <w:rsid w:val="0074478E"/>
    <w:rsid w:val="00744E4A"/>
    <w:rsid w:val="00745000"/>
    <w:rsid w:val="00745231"/>
    <w:rsid w:val="0074569A"/>
    <w:rsid w:val="00745883"/>
    <w:rsid w:val="007467A7"/>
    <w:rsid w:val="007469DD"/>
    <w:rsid w:val="0074741B"/>
    <w:rsid w:val="0074759E"/>
    <w:rsid w:val="007478EA"/>
    <w:rsid w:val="00750B68"/>
    <w:rsid w:val="007521B0"/>
    <w:rsid w:val="00752517"/>
    <w:rsid w:val="0075256E"/>
    <w:rsid w:val="0075314F"/>
    <w:rsid w:val="0075346D"/>
    <w:rsid w:val="0075415C"/>
    <w:rsid w:val="00754323"/>
    <w:rsid w:val="00754778"/>
    <w:rsid w:val="00754B29"/>
    <w:rsid w:val="00754CAD"/>
    <w:rsid w:val="00756B67"/>
    <w:rsid w:val="00761986"/>
    <w:rsid w:val="007621C5"/>
    <w:rsid w:val="00763284"/>
    <w:rsid w:val="00763502"/>
    <w:rsid w:val="00765C44"/>
    <w:rsid w:val="00765C79"/>
    <w:rsid w:val="007667FD"/>
    <w:rsid w:val="00766EBA"/>
    <w:rsid w:val="00767070"/>
    <w:rsid w:val="007726F6"/>
    <w:rsid w:val="00776820"/>
    <w:rsid w:val="00776850"/>
    <w:rsid w:val="00777070"/>
    <w:rsid w:val="00777847"/>
    <w:rsid w:val="00781383"/>
    <w:rsid w:val="007817AA"/>
    <w:rsid w:val="007819C6"/>
    <w:rsid w:val="0078234E"/>
    <w:rsid w:val="007827ED"/>
    <w:rsid w:val="007828AA"/>
    <w:rsid w:val="00784192"/>
    <w:rsid w:val="00784231"/>
    <w:rsid w:val="00784762"/>
    <w:rsid w:val="00785D58"/>
    <w:rsid w:val="00787361"/>
    <w:rsid w:val="00787418"/>
    <w:rsid w:val="00790944"/>
    <w:rsid w:val="00790F77"/>
    <w:rsid w:val="007913AB"/>
    <w:rsid w:val="007914F7"/>
    <w:rsid w:val="00791BBB"/>
    <w:rsid w:val="00791FDD"/>
    <w:rsid w:val="00792142"/>
    <w:rsid w:val="007933CC"/>
    <w:rsid w:val="007937DB"/>
    <w:rsid w:val="00793DEE"/>
    <w:rsid w:val="007950AE"/>
    <w:rsid w:val="00795551"/>
    <w:rsid w:val="00795571"/>
    <w:rsid w:val="007955D8"/>
    <w:rsid w:val="00796052"/>
    <w:rsid w:val="007963B8"/>
    <w:rsid w:val="00796486"/>
    <w:rsid w:val="00797B5A"/>
    <w:rsid w:val="007A04B0"/>
    <w:rsid w:val="007A07BD"/>
    <w:rsid w:val="007A1091"/>
    <w:rsid w:val="007A2187"/>
    <w:rsid w:val="007A457B"/>
    <w:rsid w:val="007A4887"/>
    <w:rsid w:val="007A6DC6"/>
    <w:rsid w:val="007B0804"/>
    <w:rsid w:val="007B087C"/>
    <w:rsid w:val="007B0C63"/>
    <w:rsid w:val="007B11F6"/>
    <w:rsid w:val="007B1625"/>
    <w:rsid w:val="007B3E73"/>
    <w:rsid w:val="007B5032"/>
    <w:rsid w:val="007B5AC9"/>
    <w:rsid w:val="007B706E"/>
    <w:rsid w:val="007B71EB"/>
    <w:rsid w:val="007B7474"/>
    <w:rsid w:val="007C1113"/>
    <w:rsid w:val="007C3323"/>
    <w:rsid w:val="007C4155"/>
    <w:rsid w:val="007C447B"/>
    <w:rsid w:val="007C53D6"/>
    <w:rsid w:val="007C6205"/>
    <w:rsid w:val="007C63EB"/>
    <w:rsid w:val="007C686A"/>
    <w:rsid w:val="007C6D50"/>
    <w:rsid w:val="007C6DCA"/>
    <w:rsid w:val="007C716D"/>
    <w:rsid w:val="007C728E"/>
    <w:rsid w:val="007C732D"/>
    <w:rsid w:val="007D0729"/>
    <w:rsid w:val="007D1390"/>
    <w:rsid w:val="007D278F"/>
    <w:rsid w:val="007D2C53"/>
    <w:rsid w:val="007D3D60"/>
    <w:rsid w:val="007D3DB3"/>
    <w:rsid w:val="007D574B"/>
    <w:rsid w:val="007D57F8"/>
    <w:rsid w:val="007D588A"/>
    <w:rsid w:val="007D7236"/>
    <w:rsid w:val="007D74D4"/>
    <w:rsid w:val="007D7689"/>
    <w:rsid w:val="007D7F3B"/>
    <w:rsid w:val="007E07A7"/>
    <w:rsid w:val="007E0BF1"/>
    <w:rsid w:val="007E1794"/>
    <w:rsid w:val="007E185A"/>
    <w:rsid w:val="007E1980"/>
    <w:rsid w:val="007E1DE3"/>
    <w:rsid w:val="007E2104"/>
    <w:rsid w:val="007E2C7C"/>
    <w:rsid w:val="007E3445"/>
    <w:rsid w:val="007E3B0F"/>
    <w:rsid w:val="007E46E5"/>
    <w:rsid w:val="007E4B76"/>
    <w:rsid w:val="007E5AEC"/>
    <w:rsid w:val="007E5D19"/>
    <w:rsid w:val="007E5EA8"/>
    <w:rsid w:val="007E5FD1"/>
    <w:rsid w:val="007E6C2B"/>
    <w:rsid w:val="007E6E28"/>
    <w:rsid w:val="007F02B0"/>
    <w:rsid w:val="007F0303"/>
    <w:rsid w:val="007F0CD3"/>
    <w:rsid w:val="007F0CF1"/>
    <w:rsid w:val="007F12A5"/>
    <w:rsid w:val="007F1FF8"/>
    <w:rsid w:val="007F3098"/>
    <w:rsid w:val="007F46BE"/>
    <w:rsid w:val="007F4CF1"/>
    <w:rsid w:val="007F4D4C"/>
    <w:rsid w:val="007F6082"/>
    <w:rsid w:val="007F69AD"/>
    <w:rsid w:val="007F758D"/>
    <w:rsid w:val="007F7D52"/>
    <w:rsid w:val="0080150F"/>
    <w:rsid w:val="0080153A"/>
    <w:rsid w:val="00802684"/>
    <w:rsid w:val="008035F4"/>
    <w:rsid w:val="00804938"/>
    <w:rsid w:val="00805C72"/>
    <w:rsid w:val="0080654C"/>
    <w:rsid w:val="00806655"/>
    <w:rsid w:val="008071C6"/>
    <w:rsid w:val="0081000B"/>
    <w:rsid w:val="00815C09"/>
    <w:rsid w:val="00816DCE"/>
    <w:rsid w:val="00817A00"/>
    <w:rsid w:val="00820B5A"/>
    <w:rsid w:val="00822826"/>
    <w:rsid w:val="008231F0"/>
    <w:rsid w:val="00823B37"/>
    <w:rsid w:val="00824213"/>
    <w:rsid w:val="00825F54"/>
    <w:rsid w:val="008271CC"/>
    <w:rsid w:val="008302AB"/>
    <w:rsid w:val="008312D6"/>
    <w:rsid w:val="008337B1"/>
    <w:rsid w:val="00833AB1"/>
    <w:rsid w:val="00835DB3"/>
    <w:rsid w:val="0083617B"/>
    <w:rsid w:val="00836A18"/>
    <w:rsid w:val="00836B02"/>
    <w:rsid w:val="008371BD"/>
    <w:rsid w:val="00837327"/>
    <w:rsid w:val="00842074"/>
    <w:rsid w:val="0084306B"/>
    <w:rsid w:val="00845DC9"/>
    <w:rsid w:val="00846284"/>
    <w:rsid w:val="00850374"/>
    <w:rsid w:val="008504A8"/>
    <w:rsid w:val="00850BC4"/>
    <w:rsid w:val="008525FD"/>
    <w:rsid w:val="0085282E"/>
    <w:rsid w:val="00853AC6"/>
    <w:rsid w:val="008543D9"/>
    <w:rsid w:val="0085519E"/>
    <w:rsid w:val="00855A15"/>
    <w:rsid w:val="00855ED3"/>
    <w:rsid w:val="00856A27"/>
    <w:rsid w:val="008610E8"/>
    <w:rsid w:val="008614AC"/>
    <w:rsid w:val="0086181D"/>
    <w:rsid w:val="0086197C"/>
    <w:rsid w:val="00861C64"/>
    <w:rsid w:val="00863130"/>
    <w:rsid w:val="008638BF"/>
    <w:rsid w:val="00864886"/>
    <w:rsid w:val="008653FD"/>
    <w:rsid w:val="008665DA"/>
    <w:rsid w:val="00866A78"/>
    <w:rsid w:val="00867007"/>
    <w:rsid w:val="008674D9"/>
    <w:rsid w:val="00871049"/>
    <w:rsid w:val="0087109C"/>
    <w:rsid w:val="0087198C"/>
    <w:rsid w:val="00871A20"/>
    <w:rsid w:val="00871B6A"/>
    <w:rsid w:val="008729EE"/>
    <w:rsid w:val="00872C1F"/>
    <w:rsid w:val="00872EB8"/>
    <w:rsid w:val="00873298"/>
    <w:rsid w:val="008736FB"/>
    <w:rsid w:val="00873B2A"/>
    <w:rsid w:val="00873B42"/>
    <w:rsid w:val="008756E9"/>
    <w:rsid w:val="00876401"/>
    <w:rsid w:val="0088207C"/>
    <w:rsid w:val="008829C7"/>
    <w:rsid w:val="00884BF3"/>
    <w:rsid w:val="008856D8"/>
    <w:rsid w:val="00885822"/>
    <w:rsid w:val="008879EC"/>
    <w:rsid w:val="00890814"/>
    <w:rsid w:val="00890943"/>
    <w:rsid w:val="0089230D"/>
    <w:rsid w:val="00892E82"/>
    <w:rsid w:val="00893345"/>
    <w:rsid w:val="00894BC0"/>
    <w:rsid w:val="00894FB1"/>
    <w:rsid w:val="0089555C"/>
    <w:rsid w:val="00895FBC"/>
    <w:rsid w:val="008A012C"/>
    <w:rsid w:val="008A4860"/>
    <w:rsid w:val="008A6AC4"/>
    <w:rsid w:val="008B0DA3"/>
    <w:rsid w:val="008B28AC"/>
    <w:rsid w:val="008B3493"/>
    <w:rsid w:val="008B42B5"/>
    <w:rsid w:val="008B4E96"/>
    <w:rsid w:val="008B57DF"/>
    <w:rsid w:val="008B677C"/>
    <w:rsid w:val="008C038B"/>
    <w:rsid w:val="008C063D"/>
    <w:rsid w:val="008C19B1"/>
    <w:rsid w:val="008C1B58"/>
    <w:rsid w:val="008C217C"/>
    <w:rsid w:val="008C2528"/>
    <w:rsid w:val="008C307F"/>
    <w:rsid w:val="008C355E"/>
    <w:rsid w:val="008C378C"/>
    <w:rsid w:val="008C37DE"/>
    <w:rsid w:val="008C39AE"/>
    <w:rsid w:val="008C3B46"/>
    <w:rsid w:val="008C3CFF"/>
    <w:rsid w:val="008C49B8"/>
    <w:rsid w:val="008C590D"/>
    <w:rsid w:val="008C5C24"/>
    <w:rsid w:val="008C6593"/>
    <w:rsid w:val="008C7B67"/>
    <w:rsid w:val="008D107B"/>
    <w:rsid w:val="008D13B5"/>
    <w:rsid w:val="008D1618"/>
    <w:rsid w:val="008D4920"/>
    <w:rsid w:val="008D4EB2"/>
    <w:rsid w:val="008D65CD"/>
    <w:rsid w:val="008E031B"/>
    <w:rsid w:val="008E0464"/>
    <w:rsid w:val="008E0E0E"/>
    <w:rsid w:val="008E2623"/>
    <w:rsid w:val="008E29EE"/>
    <w:rsid w:val="008E2C4B"/>
    <w:rsid w:val="008E3D87"/>
    <w:rsid w:val="008E5C5E"/>
    <w:rsid w:val="008E5EC8"/>
    <w:rsid w:val="008E648B"/>
    <w:rsid w:val="008E7029"/>
    <w:rsid w:val="008E7144"/>
    <w:rsid w:val="008E7EF6"/>
    <w:rsid w:val="008F074B"/>
    <w:rsid w:val="008F0D79"/>
    <w:rsid w:val="008F0FB9"/>
    <w:rsid w:val="008F1F98"/>
    <w:rsid w:val="008F4BF6"/>
    <w:rsid w:val="008F5025"/>
    <w:rsid w:val="008F64D8"/>
    <w:rsid w:val="008F6758"/>
    <w:rsid w:val="008F7AD5"/>
    <w:rsid w:val="00900093"/>
    <w:rsid w:val="0090156C"/>
    <w:rsid w:val="009040DD"/>
    <w:rsid w:val="00904106"/>
    <w:rsid w:val="0090583D"/>
    <w:rsid w:val="00905B47"/>
    <w:rsid w:val="00911A7B"/>
    <w:rsid w:val="00912335"/>
    <w:rsid w:val="00912FD9"/>
    <w:rsid w:val="0091331C"/>
    <w:rsid w:val="00913512"/>
    <w:rsid w:val="00916464"/>
    <w:rsid w:val="00921E1E"/>
    <w:rsid w:val="00922824"/>
    <w:rsid w:val="00922E05"/>
    <w:rsid w:val="00922E48"/>
    <w:rsid w:val="009244B4"/>
    <w:rsid w:val="009268E0"/>
    <w:rsid w:val="00927348"/>
    <w:rsid w:val="009279DE"/>
    <w:rsid w:val="00927E6E"/>
    <w:rsid w:val="00930032"/>
    <w:rsid w:val="00930116"/>
    <w:rsid w:val="00930A25"/>
    <w:rsid w:val="00930ED1"/>
    <w:rsid w:val="009314D5"/>
    <w:rsid w:val="00932066"/>
    <w:rsid w:val="0093346B"/>
    <w:rsid w:val="00933A9C"/>
    <w:rsid w:val="00934154"/>
    <w:rsid w:val="00934604"/>
    <w:rsid w:val="0093530D"/>
    <w:rsid w:val="009374B6"/>
    <w:rsid w:val="00937E40"/>
    <w:rsid w:val="009401D6"/>
    <w:rsid w:val="00940260"/>
    <w:rsid w:val="00940535"/>
    <w:rsid w:val="00940A65"/>
    <w:rsid w:val="00941220"/>
    <w:rsid w:val="00941442"/>
    <w:rsid w:val="00941586"/>
    <w:rsid w:val="00941B20"/>
    <w:rsid w:val="0094212C"/>
    <w:rsid w:val="00945279"/>
    <w:rsid w:val="00947EFF"/>
    <w:rsid w:val="009507DD"/>
    <w:rsid w:val="00950E41"/>
    <w:rsid w:val="00951ADF"/>
    <w:rsid w:val="00952116"/>
    <w:rsid w:val="00952949"/>
    <w:rsid w:val="00954689"/>
    <w:rsid w:val="00954B31"/>
    <w:rsid w:val="00954CD4"/>
    <w:rsid w:val="00955B9F"/>
    <w:rsid w:val="00956ED7"/>
    <w:rsid w:val="00956EE5"/>
    <w:rsid w:val="0095761B"/>
    <w:rsid w:val="00957E58"/>
    <w:rsid w:val="009617C9"/>
    <w:rsid w:val="00961C93"/>
    <w:rsid w:val="00965021"/>
    <w:rsid w:val="00965324"/>
    <w:rsid w:val="00965742"/>
    <w:rsid w:val="00966075"/>
    <w:rsid w:val="009662C8"/>
    <w:rsid w:val="00966EDF"/>
    <w:rsid w:val="0096723C"/>
    <w:rsid w:val="00967B52"/>
    <w:rsid w:val="00967D58"/>
    <w:rsid w:val="0097091E"/>
    <w:rsid w:val="00970DDD"/>
    <w:rsid w:val="00971DEA"/>
    <w:rsid w:val="009727DD"/>
    <w:rsid w:val="00972FC9"/>
    <w:rsid w:val="0097447F"/>
    <w:rsid w:val="00974A67"/>
    <w:rsid w:val="00975A1F"/>
    <w:rsid w:val="00975CDF"/>
    <w:rsid w:val="009760D3"/>
    <w:rsid w:val="00976DE6"/>
    <w:rsid w:val="00976E92"/>
    <w:rsid w:val="00977132"/>
    <w:rsid w:val="009779E7"/>
    <w:rsid w:val="00977C9C"/>
    <w:rsid w:val="009818C1"/>
    <w:rsid w:val="00981A4B"/>
    <w:rsid w:val="00982501"/>
    <w:rsid w:val="009826AD"/>
    <w:rsid w:val="00982C7A"/>
    <w:rsid w:val="00983D1C"/>
    <w:rsid w:val="00983DA8"/>
    <w:rsid w:val="00985D0B"/>
    <w:rsid w:val="00986553"/>
    <w:rsid w:val="00986635"/>
    <w:rsid w:val="00986CA9"/>
    <w:rsid w:val="00986CF3"/>
    <w:rsid w:val="009877D3"/>
    <w:rsid w:val="00987C89"/>
    <w:rsid w:val="0099086A"/>
    <w:rsid w:val="00991D07"/>
    <w:rsid w:val="00993A9D"/>
    <w:rsid w:val="00994E8F"/>
    <w:rsid w:val="009951DC"/>
    <w:rsid w:val="0099548B"/>
    <w:rsid w:val="009959BB"/>
    <w:rsid w:val="00997158"/>
    <w:rsid w:val="009973A6"/>
    <w:rsid w:val="009A0E9C"/>
    <w:rsid w:val="009A3A7C"/>
    <w:rsid w:val="009A6AF4"/>
    <w:rsid w:val="009A7ED1"/>
    <w:rsid w:val="009B288B"/>
    <w:rsid w:val="009B2ADB"/>
    <w:rsid w:val="009B402C"/>
    <w:rsid w:val="009B43FB"/>
    <w:rsid w:val="009B4EAE"/>
    <w:rsid w:val="009B5081"/>
    <w:rsid w:val="009B603A"/>
    <w:rsid w:val="009B63F7"/>
    <w:rsid w:val="009B664F"/>
    <w:rsid w:val="009B75D9"/>
    <w:rsid w:val="009B77EC"/>
    <w:rsid w:val="009B7EA5"/>
    <w:rsid w:val="009C2D0E"/>
    <w:rsid w:val="009C3DAC"/>
    <w:rsid w:val="009C42E0"/>
    <w:rsid w:val="009C439B"/>
    <w:rsid w:val="009C65F7"/>
    <w:rsid w:val="009C6FB9"/>
    <w:rsid w:val="009D0921"/>
    <w:rsid w:val="009D0D20"/>
    <w:rsid w:val="009D1C8E"/>
    <w:rsid w:val="009D2CD7"/>
    <w:rsid w:val="009D39BF"/>
    <w:rsid w:val="009D4FD6"/>
    <w:rsid w:val="009D5362"/>
    <w:rsid w:val="009D56CE"/>
    <w:rsid w:val="009D5C78"/>
    <w:rsid w:val="009D6492"/>
    <w:rsid w:val="009E0862"/>
    <w:rsid w:val="009E1415"/>
    <w:rsid w:val="009E3768"/>
    <w:rsid w:val="009E480B"/>
    <w:rsid w:val="009E6116"/>
    <w:rsid w:val="009E619D"/>
    <w:rsid w:val="009F008A"/>
    <w:rsid w:val="009F0296"/>
    <w:rsid w:val="009F2B57"/>
    <w:rsid w:val="009F2FD6"/>
    <w:rsid w:val="009F36FF"/>
    <w:rsid w:val="009F3EF0"/>
    <w:rsid w:val="009F4D2E"/>
    <w:rsid w:val="009F636F"/>
    <w:rsid w:val="009F6CD7"/>
    <w:rsid w:val="009F74A7"/>
    <w:rsid w:val="00A002A3"/>
    <w:rsid w:val="00A00B12"/>
    <w:rsid w:val="00A00BE7"/>
    <w:rsid w:val="00A00BF6"/>
    <w:rsid w:val="00A00C5B"/>
    <w:rsid w:val="00A00F15"/>
    <w:rsid w:val="00A0145E"/>
    <w:rsid w:val="00A02A44"/>
    <w:rsid w:val="00A02E43"/>
    <w:rsid w:val="00A03319"/>
    <w:rsid w:val="00A03DA0"/>
    <w:rsid w:val="00A05124"/>
    <w:rsid w:val="00A058B5"/>
    <w:rsid w:val="00A0598F"/>
    <w:rsid w:val="00A065F9"/>
    <w:rsid w:val="00A06DA4"/>
    <w:rsid w:val="00A075A7"/>
    <w:rsid w:val="00A07ACB"/>
    <w:rsid w:val="00A07F34"/>
    <w:rsid w:val="00A110AB"/>
    <w:rsid w:val="00A123BB"/>
    <w:rsid w:val="00A20A2D"/>
    <w:rsid w:val="00A20C8F"/>
    <w:rsid w:val="00A214AF"/>
    <w:rsid w:val="00A2201D"/>
    <w:rsid w:val="00A22154"/>
    <w:rsid w:val="00A221C5"/>
    <w:rsid w:val="00A230DE"/>
    <w:rsid w:val="00A2499D"/>
    <w:rsid w:val="00A25C38"/>
    <w:rsid w:val="00A25DEC"/>
    <w:rsid w:val="00A26118"/>
    <w:rsid w:val="00A276C9"/>
    <w:rsid w:val="00A30297"/>
    <w:rsid w:val="00A30C54"/>
    <w:rsid w:val="00A30D23"/>
    <w:rsid w:val="00A31289"/>
    <w:rsid w:val="00A32707"/>
    <w:rsid w:val="00A32EAA"/>
    <w:rsid w:val="00A34B50"/>
    <w:rsid w:val="00A350B2"/>
    <w:rsid w:val="00A35466"/>
    <w:rsid w:val="00A36003"/>
    <w:rsid w:val="00A36044"/>
    <w:rsid w:val="00A36BBE"/>
    <w:rsid w:val="00A36E93"/>
    <w:rsid w:val="00A36EE1"/>
    <w:rsid w:val="00A37CB1"/>
    <w:rsid w:val="00A400F0"/>
    <w:rsid w:val="00A40466"/>
    <w:rsid w:val="00A40766"/>
    <w:rsid w:val="00A41C98"/>
    <w:rsid w:val="00A42D36"/>
    <w:rsid w:val="00A42EA8"/>
    <w:rsid w:val="00A4307A"/>
    <w:rsid w:val="00A439E3"/>
    <w:rsid w:val="00A44510"/>
    <w:rsid w:val="00A44FA8"/>
    <w:rsid w:val="00A4531A"/>
    <w:rsid w:val="00A46917"/>
    <w:rsid w:val="00A4702C"/>
    <w:rsid w:val="00A47464"/>
    <w:rsid w:val="00A47EBB"/>
    <w:rsid w:val="00A51CDD"/>
    <w:rsid w:val="00A52C4F"/>
    <w:rsid w:val="00A536C5"/>
    <w:rsid w:val="00A538E6"/>
    <w:rsid w:val="00A5394D"/>
    <w:rsid w:val="00A55454"/>
    <w:rsid w:val="00A566DC"/>
    <w:rsid w:val="00A56E50"/>
    <w:rsid w:val="00A60062"/>
    <w:rsid w:val="00A60EFF"/>
    <w:rsid w:val="00A61FE6"/>
    <w:rsid w:val="00A6218A"/>
    <w:rsid w:val="00A6240A"/>
    <w:rsid w:val="00A628C1"/>
    <w:rsid w:val="00A63409"/>
    <w:rsid w:val="00A636BE"/>
    <w:rsid w:val="00A6495B"/>
    <w:rsid w:val="00A65495"/>
    <w:rsid w:val="00A6620B"/>
    <w:rsid w:val="00A66E9D"/>
    <w:rsid w:val="00A671B9"/>
    <w:rsid w:val="00A6730D"/>
    <w:rsid w:val="00A67583"/>
    <w:rsid w:val="00A67E89"/>
    <w:rsid w:val="00A71625"/>
    <w:rsid w:val="00A71B9B"/>
    <w:rsid w:val="00A71C10"/>
    <w:rsid w:val="00A7457A"/>
    <w:rsid w:val="00A7468C"/>
    <w:rsid w:val="00A751C7"/>
    <w:rsid w:val="00A752FC"/>
    <w:rsid w:val="00A7552B"/>
    <w:rsid w:val="00A7664E"/>
    <w:rsid w:val="00A76693"/>
    <w:rsid w:val="00A77125"/>
    <w:rsid w:val="00A80D43"/>
    <w:rsid w:val="00A80DCB"/>
    <w:rsid w:val="00A80F3A"/>
    <w:rsid w:val="00A81402"/>
    <w:rsid w:val="00A8210F"/>
    <w:rsid w:val="00A825E0"/>
    <w:rsid w:val="00A84A87"/>
    <w:rsid w:val="00A8619F"/>
    <w:rsid w:val="00A86A89"/>
    <w:rsid w:val="00A87436"/>
    <w:rsid w:val="00A876B4"/>
    <w:rsid w:val="00A87844"/>
    <w:rsid w:val="00A904BE"/>
    <w:rsid w:val="00A906DD"/>
    <w:rsid w:val="00A90E0B"/>
    <w:rsid w:val="00A92412"/>
    <w:rsid w:val="00A93686"/>
    <w:rsid w:val="00A93AA2"/>
    <w:rsid w:val="00A94BD6"/>
    <w:rsid w:val="00A95614"/>
    <w:rsid w:val="00A9625E"/>
    <w:rsid w:val="00A97DEF"/>
    <w:rsid w:val="00AA038C"/>
    <w:rsid w:val="00AA2AFB"/>
    <w:rsid w:val="00AA2B34"/>
    <w:rsid w:val="00AA385A"/>
    <w:rsid w:val="00AA46CE"/>
    <w:rsid w:val="00AA499E"/>
    <w:rsid w:val="00AA59BC"/>
    <w:rsid w:val="00AA60BD"/>
    <w:rsid w:val="00AA7365"/>
    <w:rsid w:val="00AA7A09"/>
    <w:rsid w:val="00AA7E9F"/>
    <w:rsid w:val="00AB18A4"/>
    <w:rsid w:val="00AB3B50"/>
    <w:rsid w:val="00AB7468"/>
    <w:rsid w:val="00AC0422"/>
    <w:rsid w:val="00AC04CF"/>
    <w:rsid w:val="00AC05B1"/>
    <w:rsid w:val="00AC2E01"/>
    <w:rsid w:val="00AC3002"/>
    <w:rsid w:val="00AC5A52"/>
    <w:rsid w:val="00AC5BBA"/>
    <w:rsid w:val="00AC64F2"/>
    <w:rsid w:val="00AC6BF8"/>
    <w:rsid w:val="00AC778C"/>
    <w:rsid w:val="00AC7C7F"/>
    <w:rsid w:val="00AC7D99"/>
    <w:rsid w:val="00AD0A9F"/>
    <w:rsid w:val="00AD1A26"/>
    <w:rsid w:val="00AD1C72"/>
    <w:rsid w:val="00AD2118"/>
    <w:rsid w:val="00AD243B"/>
    <w:rsid w:val="00AD2833"/>
    <w:rsid w:val="00AD34EB"/>
    <w:rsid w:val="00AD356C"/>
    <w:rsid w:val="00AD3DCE"/>
    <w:rsid w:val="00AD4465"/>
    <w:rsid w:val="00AD50D6"/>
    <w:rsid w:val="00AD51A9"/>
    <w:rsid w:val="00AD6597"/>
    <w:rsid w:val="00AE13A9"/>
    <w:rsid w:val="00AE13C8"/>
    <w:rsid w:val="00AE155D"/>
    <w:rsid w:val="00AE1ED1"/>
    <w:rsid w:val="00AE1F4E"/>
    <w:rsid w:val="00AE229C"/>
    <w:rsid w:val="00AE23BE"/>
    <w:rsid w:val="00AE2628"/>
    <w:rsid w:val="00AE2801"/>
    <w:rsid w:val="00AE2914"/>
    <w:rsid w:val="00AE2F53"/>
    <w:rsid w:val="00AE3457"/>
    <w:rsid w:val="00AE50E5"/>
    <w:rsid w:val="00AE6D15"/>
    <w:rsid w:val="00AE70A1"/>
    <w:rsid w:val="00AF32DD"/>
    <w:rsid w:val="00AF3518"/>
    <w:rsid w:val="00AF4649"/>
    <w:rsid w:val="00AF4A31"/>
    <w:rsid w:val="00AF740D"/>
    <w:rsid w:val="00AF76E6"/>
    <w:rsid w:val="00B0008A"/>
    <w:rsid w:val="00B0067B"/>
    <w:rsid w:val="00B02028"/>
    <w:rsid w:val="00B0205D"/>
    <w:rsid w:val="00B032C7"/>
    <w:rsid w:val="00B03557"/>
    <w:rsid w:val="00B03CA5"/>
    <w:rsid w:val="00B04182"/>
    <w:rsid w:val="00B043A7"/>
    <w:rsid w:val="00B06BC0"/>
    <w:rsid w:val="00B07AE3"/>
    <w:rsid w:val="00B07D07"/>
    <w:rsid w:val="00B1014F"/>
    <w:rsid w:val="00B11430"/>
    <w:rsid w:val="00B118BB"/>
    <w:rsid w:val="00B1397C"/>
    <w:rsid w:val="00B16AA8"/>
    <w:rsid w:val="00B17CC7"/>
    <w:rsid w:val="00B2020E"/>
    <w:rsid w:val="00B21C22"/>
    <w:rsid w:val="00B21D49"/>
    <w:rsid w:val="00B22383"/>
    <w:rsid w:val="00B22BA5"/>
    <w:rsid w:val="00B23D23"/>
    <w:rsid w:val="00B23EC9"/>
    <w:rsid w:val="00B242B0"/>
    <w:rsid w:val="00B24476"/>
    <w:rsid w:val="00B2475D"/>
    <w:rsid w:val="00B25933"/>
    <w:rsid w:val="00B2763D"/>
    <w:rsid w:val="00B30260"/>
    <w:rsid w:val="00B30615"/>
    <w:rsid w:val="00B315B4"/>
    <w:rsid w:val="00B31DB6"/>
    <w:rsid w:val="00B34BF9"/>
    <w:rsid w:val="00B34CF6"/>
    <w:rsid w:val="00B353EB"/>
    <w:rsid w:val="00B35C10"/>
    <w:rsid w:val="00B3688C"/>
    <w:rsid w:val="00B36FB9"/>
    <w:rsid w:val="00B3734C"/>
    <w:rsid w:val="00B37678"/>
    <w:rsid w:val="00B37F80"/>
    <w:rsid w:val="00B408C5"/>
    <w:rsid w:val="00B4226D"/>
    <w:rsid w:val="00B437D7"/>
    <w:rsid w:val="00B439C4"/>
    <w:rsid w:val="00B44382"/>
    <w:rsid w:val="00B4535E"/>
    <w:rsid w:val="00B45F53"/>
    <w:rsid w:val="00B47EFE"/>
    <w:rsid w:val="00B51FEF"/>
    <w:rsid w:val="00B52A8C"/>
    <w:rsid w:val="00B53116"/>
    <w:rsid w:val="00B53941"/>
    <w:rsid w:val="00B53A05"/>
    <w:rsid w:val="00B53FD8"/>
    <w:rsid w:val="00B54527"/>
    <w:rsid w:val="00B54636"/>
    <w:rsid w:val="00B54B9B"/>
    <w:rsid w:val="00B56506"/>
    <w:rsid w:val="00B56E5D"/>
    <w:rsid w:val="00B56FD2"/>
    <w:rsid w:val="00B576A4"/>
    <w:rsid w:val="00B63632"/>
    <w:rsid w:val="00B636A8"/>
    <w:rsid w:val="00B651C5"/>
    <w:rsid w:val="00B6589A"/>
    <w:rsid w:val="00B665C6"/>
    <w:rsid w:val="00B66A04"/>
    <w:rsid w:val="00B66EEF"/>
    <w:rsid w:val="00B67AE2"/>
    <w:rsid w:val="00B703BE"/>
    <w:rsid w:val="00B70BB9"/>
    <w:rsid w:val="00B73728"/>
    <w:rsid w:val="00B73DFC"/>
    <w:rsid w:val="00B748F3"/>
    <w:rsid w:val="00B74F90"/>
    <w:rsid w:val="00B759FD"/>
    <w:rsid w:val="00B75AF5"/>
    <w:rsid w:val="00B761C6"/>
    <w:rsid w:val="00B77251"/>
    <w:rsid w:val="00B777A8"/>
    <w:rsid w:val="00B77E90"/>
    <w:rsid w:val="00B805AF"/>
    <w:rsid w:val="00B81786"/>
    <w:rsid w:val="00B8178D"/>
    <w:rsid w:val="00B8222A"/>
    <w:rsid w:val="00B823C6"/>
    <w:rsid w:val="00B84491"/>
    <w:rsid w:val="00B84B49"/>
    <w:rsid w:val="00B850A6"/>
    <w:rsid w:val="00B8620F"/>
    <w:rsid w:val="00B869EC"/>
    <w:rsid w:val="00B86BCB"/>
    <w:rsid w:val="00B9073C"/>
    <w:rsid w:val="00B910C5"/>
    <w:rsid w:val="00B91FD9"/>
    <w:rsid w:val="00B920AB"/>
    <w:rsid w:val="00B9311A"/>
    <w:rsid w:val="00B93467"/>
    <w:rsid w:val="00B9397A"/>
    <w:rsid w:val="00B93A27"/>
    <w:rsid w:val="00B93D79"/>
    <w:rsid w:val="00B9633D"/>
    <w:rsid w:val="00BA168D"/>
    <w:rsid w:val="00BA1B2D"/>
    <w:rsid w:val="00BA2222"/>
    <w:rsid w:val="00BA2EBE"/>
    <w:rsid w:val="00BA4224"/>
    <w:rsid w:val="00BA5233"/>
    <w:rsid w:val="00BA55F9"/>
    <w:rsid w:val="00BA56C8"/>
    <w:rsid w:val="00BA5B73"/>
    <w:rsid w:val="00BA6700"/>
    <w:rsid w:val="00BA6AA4"/>
    <w:rsid w:val="00BA6E72"/>
    <w:rsid w:val="00BA6FA0"/>
    <w:rsid w:val="00BA77B4"/>
    <w:rsid w:val="00BA7A4F"/>
    <w:rsid w:val="00BA7EDD"/>
    <w:rsid w:val="00BB0113"/>
    <w:rsid w:val="00BB0E08"/>
    <w:rsid w:val="00BB0F11"/>
    <w:rsid w:val="00BB0F28"/>
    <w:rsid w:val="00BB1A08"/>
    <w:rsid w:val="00BB21E1"/>
    <w:rsid w:val="00BB24C2"/>
    <w:rsid w:val="00BB41E2"/>
    <w:rsid w:val="00BB458A"/>
    <w:rsid w:val="00BC174E"/>
    <w:rsid w:val="00BD0029"/>
    <w:rsid w:val="00BD00D3"/>
    <w:rsid w:val="00BD1659"/>
    <w:rsid w:val="00BD2061"/>
    <w:rsid w:val="00BD2AEC"/>
    <w:rsid w:val="00BD3AA9"/>
    <w:rsid w:val="00BD4A18"/>
    <w:rsid w:val="00BD4ADE"/>
    <w:rsid w:val="00BD51CE"/>
    <w:rsid w:val="00BD5CA0"/>
    <w:rsid w:val="00BD6540"/>
    <w:rsid w:val="00BD6683"/>
    <w:rsid w:val="00BD6DB2"/>
    <w:rsid w:val="00BE11CF"/>
    <w:rsid w:val="00BE1F4E"/>
    <w:rsid w:val="00BE21AB"/>
    <w:rsid w:val="00BE2391"/>
    <w:rsid w:val="00BE296F"/>
    <w:rsid w:val="00BE3875"/>
    <w:rsid w:val="00BE4492"/>
    <w:rsid w:val="00BE4605"/>
    <w:rsid w:val="00BE4AD0"/>
    <w:rsid w:val="00BE4FA8"/>
    <w:rsid w:val="00BE5540"/>
    <w:rsid w:val="00BE55CB"/>
    <w:rsid w:val="00BE7AC3"/>
    <w:rsid w:val="00BF035D"/>
    <w:rsid w:val="00BF11AD"/>
    <w:rsid w:val="00BF14A1"/>
    <w:rsid w:val="00BF2796"/>
    <w:rsid w:val="00BF2B17"/>
    <w:rsid w:val="00BF4BB1"/>
    <w:rsid w:val="00BF4C5D"/>
    <w:rsid w:val="00BF540C"/>
    <w:rsid w:val="00BF581F"/>
    <w:rsid w:val="00BF617A"/>
    <w:rsid w:val="00BF7EF1"/>
    <w:rsid w:val="00C00304"/>
    <w:rsid w:val="00C0159B"/>
    <w:rsid w:val="00C01F61"/>
    <w:rsid w:val="00C03017"/>
    <w:rsid w:val="00C0379D"/>
    <w:rsid w:val="00C03931"/>
    <w:rsid w:val="00C05FE3"/>
    <w:rsid w:val="00C06559"/>
    <w:rsid w:val="00C108ED"/>
    <w:rsid w:val="00C1356D"/>
    <w:rsid w:val="00C1373C"/>
    <w:rsid w:val="00C161EA"/>
    <w:rsid w:val="00C178E7"/>
    <w:rsid w:val="00C2136D"/>
    <w:rsid w:val="00C214EE"/>
    <w:rsid w:val="00C218BA"/>
    <w:rsid w:val="00C21BA1"/>
    <w:rsid w:val="00C22B8E"/>
    <w:rsid w:val="00C2314B"/>
    <w:rsid w:val="00C23223"/>
    <w:rsid w:val="00C24971"/>
    <w:rsid w:val="00C24F8D"/>
    <w:rsid w:val="00C254D6"/>
    <w:rsid w:val="00C2595D"/>
    <w:rsid w:val="00C263EA"/>
    <w:rsid w:val="00C26BE5"/>
    <w:rsid w:val="00C26E4D"/>
    <w:rsid w:val="00C270BE"/>
    <w:rsid w:val="00C2754A"/>
    <w:rsid w:val="00C27909"/>
    <w:rsid w:val="00C27B03"/>
    <w:rsid w:val="00C30BC8"/>
    <w:rsid w:val="00C314E1"/>
    <w:rsid w:val="00C31642"/>
    <w:rsid w:val="00C32565"/>
    <w:rsid w:val="00C34397"/>
    <w:rsid w:val="00C34C85"/>
    <w:rsid w:val="00C36549"/>
    <w:rsid w:val="00C4009B"/>
    <w:rsid w:val="00C40253"/>
    <w:rsid w:val="00C4095D"/>
    <w:rsid w:val="00C40F93"/>
    <w:rsid w:val="00C41724"/>
    <w:rsid w:val="00C42659"/>
    <w:rsid w:val="00C435E8"/>
    <w:rsid w:val="00C4435A"/>
    <w:rsid w:val="00C446E3"/>
    <w:rsid w:val="00C44E6C"/>
    <w:rsid w:val="00C44EE1"/>
    <w:rsid w:val="00C45730"/>
    <w:rsid w:val="00C47132"/>
    <w:rsid w:val="00C50A9F"/>
    <w:rsid w:val="00C52855"/>
    <w:rsid w:val="00C54E14"/>
    <w:rsid w:val="00C55299"/>
    <w:rsid w:val="00C55D9F"/>
    <w:rsid w:val="00C5719F"/>
    <w:rsid w:val="00C575FB"/>
    <w:rsid w:val="00C601D2"/>
    <w:rsid w:val="00C60759"/>
    <w:rsid w:val="00C62144"/>
    <w:rsid w:val="00C624C5"/>
    <w:rsid w:val="00C6312F"/>
    <w:rsid w:val="00C63254"/>
    <w:rsid w:val="00C64078"/>
    <w:rsid w:val="00C646EC"/>
    <w:rsid w:val="00C657AB"/>
    <w:rsid w:val="00C65947"/>
    <w:rsid w:val="00C65A69"/>
    <w:rsid w:val="00C65BCC"/>
    <w:rsid w:val="00C66970"/>
    <w:rsid w:val="00C675A7"/>
    <w:rsid w:val="00C706AB"/>
    <w:rsid w:val="00C70A11"/>
    <w:rsid w:val="00C7188D"/>
    <w:rsid w:val="00C71FB6"/>
    <w:rsid w:val="00C721AC"/>
    <w:rsid w:val="00C726CA"/>
    <w:rsid w:val="00C72EB7"/>
    <w:rsid w:val="00C74A6E"/>
    <w:rsid w:val="00C74E55"/>
    <w:rsid w:val="00C75391"/>
    <w:rsid w:val="00C75989"/>
    <w:rsid w:val="00C80CEC"/>
    <w:rsid w:val="00C8388D"/>
    <w:rsid w:val="00C84213"/>
    <w:rsid w:val="00C853BB"/>
    <w:rsid w:val="00C8633D"/>
    <w:rsid w:val="00C8691C"/>
    <w:rsid w:val="00C87982"/>
    <w:rsid w:val="00C87AC6"/>
    <w:rsid w:val="00C90A86"/>
    <w:rsid w:val="00C92438"/>
    <w:rsid w:val="00C942D2"/>
    <w:rsid w:val="00C94761"/>
    <w:rsid w:val="00C9554C"/>
    <w:rsid w:val="00C96EC5"/>
    <w:rsid w:val="00CA0820"/>
    <w:rsid w:val="00CA168A"/>
    <w:rsid w:val="00CA1ADE"/>
    <w:rsid w:val="00CA1D98"/>
    <w:rsid w:val="00CA244E"/>
    <w:rsid w:val="00CA2C8E"/>
    <w:rsid w:val="00CA357E"/>
    <w:rsid w:val="00CA44F9"/>
    <w:rsid w:val="00CA4A69"/>
    <w:rsid w:val="00CA5ACD"/>
    <w:rsid w:val="00CA6FC1"/>
    <w:rsid w:val="00CA730F"/>
    <w:rsid w:val="00CA7BE2"/>
    <w:rsid w:val="00CB0C60"/>
    <w:rsid w:val="00CB0F83"/>
    <w:rsid w:val="00CB1179"/>
    <w:rsid w:val="00CB2AA9"/>
    <w:rsid w:val="00CB30B6"/>
    <w:rsid w:val="00CB3599"/>
    <w:rsid w:val="00CB3956"/>
    <w:rsid w:val="00CB3CCD"/>
    <w:rsid w:val="00CB5DA2"/>
    <w:rsid w:val="00CB61F5"/>
    <w:rsid w:val="00CB6DDD"/>
    <w:rsid w:val="00CC1C42"/>
    <w:rsid w:val="00CC2F28"/>
    <w:rsid w:val="00CC3E0C"/>
    <w:rsid w:val="00CC58D3"/>
    <w:rsid w:val="00CC701A"/>
    <w:rsid w:val="00CC73AA"/>
    <w:rsid w:val="00CC784D"/>
    <w:rsid w:val="00CC7A61"/>
    <w:rsid w:val="00CD0544"/>
    <w:rsid w:val="00CD06D7"/>
    <w:rsid w:val="00CD1F5A"/>
    <w:rsid w:val="00CD2CB2"/>
    <w:rsid w:val="00CD4EA6"/>
    <w:rsid w:val="00CD59FC"/>
    <w:rsid w:val="00CD7733"/>
    <w:rsid w:val="00CD7F64"/>
    <w:rsid w:val="00CE03AE"/>
    <w:rsid w:val="00CE2F58"/>
    <w:rsid w:val="00CE322A"/>
    <w:rsid w:val="00CE399D"/>
    <w:rsid w:val="00CE4139"/>
    <w:rsid w:val="00CE4298"/>
    <w:rsid w:val="00CE43B3"/>
    <w:rsid w:val="00CE792F"/>
    <w:rsid w:val="00CE7AAA"/>
    <w:rsid w:val="00CE7F36"/>
    <w:rsid w:val="00CF021C"/>
    <w:rsid w:val="00CF0ECD"/>
    <w:rsid w:val="00CF1CA4"/>
    <w:rsid w:val="00CF2899"/>
    <w:rsid w:val="00CF2EC9"/>
    <w:rsid w:val="00CF49DA"/>
    <w:rsid w:val="00CF52A5"/>
    <w:rsid w:val="00CF5A58"/>
    <w:rsid w:val="00CF5AA3"/>
    <w:rsid w:val="00CF67AB"/>
    <w:rsid w:val="00CF6971"/>
    <w:rsid w:val="00CF74FC"/>
    <w:rsid w:val="00D00236"/>
    <w:rsid w:val="00D00918"/>
    <w:rsid w:val="00D01180"/>
    <w:rsid w:val="00D01A19"/>
    <w:rsid w:val="00D01A9D"/>
    <w:rsid w:val="00D02156"/>
    <w:rsid w:val="00D02A05"/>
    <w:rsid w:val="00D0337B"/>
    <w:rsid w:val="00D045AE"/>
    <w:rsid w:val="00D045D2"/>
    <w:rsid w:val="00D059BE"/>
    <w:rsid w:val="00D0762E"/>
    <w:rsid w:val="00D07800"/>
    <w:rsid w:val="00D079B2"/>
    <w:rsid w:val="00D07A2F"/>
    <w:rsid w:val="00D1115A"/>
    <w:rsid w:val="00D114E9"/>
    <w:rsid w:val="00D11EDF"/>
    <w:rsid w:val="00D123AB"/>
    <w:rsid w:val="00D139AA"/>
    <w:rsid w:val="00D147EB"/>
    <w:rsid w:val="00D1663C"/>
    <w:rsid w:val="00D16D78"/>
    <w:rsid w:val="00D202D9"/>
    <w:rsid w:val="00D22891"/>
    <w:rsid w:val="00D22BEC"/>
    <w:rsid w:val="00D23EC9"/>
    <w:rsid w:val="00D2445B"/>
    <w:rsid w:val="00D2738E"/>
    <w:rsid w:val="00D27E33"/>
    <w:rsid w:val="00D27F5E"/>
    <w:rsid w:val="00D31F10"/>
    <w:rsid w:val="00D32D46"/>
    <w:rsid w:val="00D3320C"/>
    <w:rsid w:val="00D3346C"/>
    <w:rsid w:val="00D34E1E"/>
    <w:rsid w:val="00D35A53"/>
    <w:rsid w:val="00D37373"/>
    <w:rsid w:val="00D37ABF"/>
    <w:rsid w:val="00D4142B"/>
    <w:rsid w:val="00D42167"/>
    <w:rsid w:val="00D429C6"/>
    <w:rsid w:val="00D42A82"/>
    <w:rsid w:val="00D4399E"/>
    <w:rsid w:val="00D47748"/>
    <w:rsid w:val="00D477D6"/>
    <w:rsid w:val="00D47A98"/>
    <w:rsid w:val="00D47B1B"/>
    <w:rsid w:val="00D539C1"/>
    <w:rsid w:val="00D53EB2"/>
    <w:rsid w:val="00D547C1"/>
    <w:rsid w:val="00D54CC3"/>
    <w:rsid w:val="00D60403"/>
    <w:rsid w:val="00D6041A"/>
    <w:rsid w:val="00D6084C"/>
    <w:rsid w:val="00D60FDA"/>
    <w:rsid w:val="00D612C3"/>
    <w:rsid w:val="00D6159F"/>
    <w:rsid w:val="00D61A84"/>
    <w:rsid w:val="00D61AAE"/>
    <w:rsid w:val="00D62499"/>
    <w:rsid w:val="00D633EB"/>
    <w:rsid w:val="00D63563"/>
    <w:rsid w:val="00D6488E"/>
    <w:rsid w:val="00D65C28"/>
    <w:rsid w:val="00D70485"/>
    <w:rsid w:val="00D7103C"/>
    <w:rsid w:val="00D73100"/>
    <w:rsid w:val="00D73FC6"/>
    <w:rsid w:val="00D77534"/>
    <w:rsid w:val="00D77C86"/>
    <w:rsid w:val="00D813F6"/>
    <w:rsid w:val="00D81C95"/>
    <w:rsid w:val="00D82FF7"/>
    <w:rsid w:val="00D83586"/>
    <w:rsid w:val="00D844B5"/>
    <w:rsid w:val="00D847FE"/>
    <w:rsid w:val="00D85167"/>
    <w:rsid w:val="00D87900"/>
    <w:rsid w:val="00D87B7B"/>
    <w:rsid w:val="00D902C5"/>
    <w:rsid w:val="00D9227E"/>
    <w:rsid w:val="00D929A3"/>
    <w:rsid w:val="00D93D1C"/>
    <w:rsid w:val="00D93DE5"/>
    <w:rsid w:val="00D9577A"/>
    <w:rsid w:val="00D96443"/>
    <w:rsid w:val="00D964EA"/>
    <w:rsid w:val="00D966D0"/>
    <w:rsid w:val="00D96FC3"/>
    <w:rsid w:val="00D9735A"/>
    <w:rsid w:val="00D97AE2"/>
    <w:rsid w:val="00D97D5D"/>
    <w:rsid w:val="00DA011A"/>
    <w:rsid w:val="00DA04D9"/>
    <w:rsid w:val="00DA0C59"/>
    <w:rsid w:val="00DA0E16"/>
    <w:rsid w:val="00DA18F0"/>
    <w:rsid w:val="00DA1AEB"/>
    <w:rsid w:val="00DA27FE"/>
    <w:rsid w:val="00DA2952"/>
    <w:rsid w:val="00DA33F8"/>
    <w:rsid w:val="00DA38F4"/>
    <w:rsid w:val="00DA3991"/>
    <w:rsid w:val="00DA63DB"/>
    <w:rsid w:val="00DA6AEB"/>
    <w:rsid w:val="00DA78BC"/>
    <w:rsid w:val="00DB12C8"/>
    <w:rsid w:val="00DB1529"/>
    <w:rsid w:val="00DB1790"/>
    <w:rsid w:val="00DB1BEE"/>
    <w:rsid w:val="00DB1F6B"/>
    <w:rsid w:val="00DB3D83"/>
    <w:rsid w:val="00DB46CD"/>
    <w:rsid w:val="00DB6EFF"/>
    <w:rsid w:val="00DB7873"/>
    <w:rsid w:val="00DB7E6C"/>
    <w:rsid w:val="00DC5394"/>
    <w:rsid w:val="00DC59AD"/>
    <w:rsid w:val="00DC59D3"/>
    <w:rsid w:val="00DC5F17"/>
    <w:rsid w:val="00DC66B6"/>
    <w:rsid w:val="00DC6AD3"/>
    <w:rsid w:val="00DC7292"/>
    <w:rsid w:val="00DC7706"/>
    <w:rsid w:val="00DD3D19"/>
    <w:rsid w:val="00DD5905"/>
    <w:rsid w:val="00DD5A29"/>
    <w:rsid w:val="00DD5D9D"/>
    <w:rsid w:val="00DD6E13"/>
    <w:rsid w:val="00DE0BE9"/>
    <w:rsid w:val="00DE30FD"/>
    <w:rsid w:val="00DE35CB"/>
    <w:rsid w:val="00DE3626"/>
    <w:rsid w:val="00DE3B53"/>
    <w:rsid w:val="00DE43E3"/>
    <w:rsid w:val="00DE47DD"/>
    <w:rsid w:val="00DE4D66"/>
    <w:rsid w:val="00DE6485"/>
    <w:rsid w:val="00DE684C"/>
    <w:rsid w:val="00DE6CAA"/>
    <w:rsid w:val="00DF02CA"/>
    <w:rsid w:val="00DF09C3"/>
    <w:rsid w:val="00DF21E9"/>
    <w:rsid w:val="00DF29D2"/>
    <w:rsid w:val="00DF3261"/>
    <w:rsid w:val="00DF719F"/>
    <w:rsid w:val="00DF7645"/>
    <w:rsid w:val="00DF7C02"/>
    <w:rsid w:val="00DF7D31"/>
    <w:rsid w:val="00E00830"/>
    <w:rsid w:val="00E00C32"/>
    <w:rsid w:val="00E00F14"/>
    <w:rsid w:val="00E027B9"/>
    <w:rsid w:val="00E041AB"/>
    <w:rsid w:val="00E05A8A"/>
    <w:rsid w:val="00E06386"/>
    <w:rsid w:val="00E063B1"/>
    <w:rsid w:val="00E11104"/>
    <w:rsid w:val="00E12B48"/>
    <w:rsid w:val="00E15640"/>
    <w:rsid w:val="00E15744"/>
    <w:rsid w:val="00E157E8"/>
    <w:rsid w:val="00E16927"/>
    <w:rsid w:val="00E20466"/>
    <w:rsid w:val="00E21089"/>
    <w:rsid w:val="00E211CF"/>
    <w:rsid w:val="00E22347"/>
    <w:rsid w:val="00E226F5"/>
    <w:rsid w:val="00E232C8"/>
    <w:rsid w:val="00E2442A"/>
    <w:rsid w:val="00E24EB4"/>
    <w:rsid w:val="00E25607"/>
    <w:rsid w:val="00E27885"/>
    <w:rsid w:val="00E27940"/>
    <w:rsid w:val="00E30D7C"/>
    <w:rsid w:val="00E31ACB"/>
    <w:rsid w:val="00E31E74"/>
    <w:rsid w:val="00E320ED"/>
    <w:rsid w:val="00E328D6"/>
    <w:rsid w:val="00E32B74"/>
    <w:rsid w:val="00E339C8"/>
    <w:rsid w:val="00E33AFB"/>
    <w:rsid w:val="00E33F7A"/>
    <w:rsid w:val="00E34218"/>
    <w:rsid w:val="00E343BD"/>
    <w:rsid w:val="00E359BD"/>
    <w:rsid w:val="00E3774E"/>
    <w:rsid w:val="00E37CDC"/>
    <w:rsid w:val="00E40E28"/>
    <w:rsid w:val="00E40F58"/>
    <w:rsid w:val="00E4117E"/>
    <w:rsid w:val="00E415F1"/>
    <w:rsid w:val="00E427E8"/>
    <w:rsid w:val="00E42876"/>
    <w:rsid w:val="00E428BE"/>
    <w:rsid w:val="00E43216"/>
    <w:rsid w:val="00E433D9"/>
    <w:rsid w:val="00E438B0"/>
    <w:rsid w:val="00E43C8C"/>
    <w:rsid w:val="00E44420"/>
    <w:rsid w:val="00E452B9"/>
    <w:rsid w:val="00E45B62"/>
    <w:rsid w:val="00E46282"/>
    <w:rsid w:val="00E46744"/>
    <w:rsid w:val="00E5216E"/>
    <w:rsid w:val="00E539A5"/>
    <w:rsid w:val="00E556A5"/>
    <w:rsid w:val="00E603DB"/>
    <w:rsid w:val="00E603DE"/>
    <w:rsid w:val="00E60BEC"/>
    <w:rsid w:val="00E61D9D"/>
    <w:rsid w:val="00E62886"/>
    <w:rsid w:val="00E62A4D"/>
    <w:rsid w:val="00E62EA2"/>
    <w:rsid w:val="00E64A72"/>
    <w:rsid w:val="00E664A1"/>
    <w:rsid w:val="00E70F31"/>
    <w:rsid w:val="00E71D01"/>
    <w:rsid w:val="00E72A93"/>
    <w:rsid w:val="00E73035"/>
    <w:rsid w:val="00E734BB"/>
    <w:rsid w:val="00E75B14"/>
    <w:rsid w:val="00E77556"/>
    <w:rsid w:val="00E80257"/>
    <w:rsid w:val="00E80FE0"/>
    <w:rsid w:val="00E813E5"/>
    <w:rsid w:val="00E82344"/>
    <w:rsid w:val="00E8360E"/>
    <w:rsid w:val="00E84C82"/>
    <w:rsid w:val="00E84D64"/>
    <w:rsid w:val="00E8508F"/>
    <w:rsid w:val="00E854E8"/>
    <w:rsid w:val="00E858BF"/>
    <w:rsid w:val="00E85B56"/>
    <w:rsid w:val="00E86B39"/>
    <w:rsid w:val="00E87408"/>
    <w:rsid w:val="00E874B6"/>
    <w:rsid w:val="00E914C4"/>
    <w:rsid w:val="00E92809"/>
    <w:rsid w:val="00E92F97"/>
    <w:rsid w:val="00E930B3"/>
    <w:rsid w:val="00E934F5"/>
    <w:rsid w:val="00E960EB"/>
    <w:rsid w:val="00E966D1"/>
    <w:rsid w:val="00E96961"/>
    <w:rsid w:val="00E96B72"/>
    <w:rsid w:val="00EA09C4"/>
    <w:rsid w:val="00EA0BBF"/>
    <w:rsid w:val="00EA3E73"/>
    <w:rsid w:val="00EA5F94"/>
    <w:rsid w:val="00EA6182"/>
    <w:rsid w:val="00EA6310"/>
    <w:rsid w:val="00EA641F"/>
    <w:rsid w:val="00EA67E0"/>
    <w:rsid w:val="00EA6821"/>
    <w:rsid w:val="00EA6F49"/>
    <w:rsid w:val="00EA72EC"/>
    <w:rsid w:val="00EB0D03"/>
    <w:rsid w:val="00EB0D5C"/>
    <w:rsid w:val="00EB11CB"/>
    <w:rsid w:val="00EB1BCA"/>
    <w:rsid w:val="00EB2644"/>
    <w:rsid w:val="00EB275A"/>
    <w:rsid w:val="00EB434E"/>
    <w:rsid w:val="00EB5D5D"/>
    <w:rsid w:val="00EB62D3"/>
    <w:rsid w:val="00EB6F07"/>
    <w:rsid w:val="00EB7061"/>
    <w:rsid w:val="00EB725D"/>
    <w:rsid w:val="00EB774B"/>
    <w:rsid w:val="00EB786A"/>
    <w:rsid w:val="00EC06C0"/>
    <w:rsid w:val="00EC0E99"/>
    <w:rsid w:val="00EC1578"/>
    <w:rsid w:val="00EC1C72"/>
    <w:rsid w:val="00EC2476"/>
    <w:rsid w:val="00EC2AF8"/>
    <w:rsid w:val="00EC37BD"/>
    <w:rsid w:val="00EC3B57"/>
    <w:rsid w:val="00EC3CC9"/>
    <w:rsid w:val="00EC41E9"/>
    <w:rsid w:val="00EC6111"/>
    <w:rsid w:val="00EC680A"/>
    <w:rsid w:val="00ED003D"/>
    <w:rsid w:val="00ED0969"/>
    <w:rsid w:val="00ED0EE0"/>
    <w:rsid w:val="00ED1395"/>
    <w:rsid w:val="00ED1717"/>
    <w:rsid w:val="00ED256C"/>
    <w:rsid w:val="00ED462F"/>
    <w:rsid w:val="00ED53AE"/>
    <w:rsid w:val="00ED6258"/>
    <w:rsid w:val="00ED65B0"/>
    <w:rsid w:val="00ED6764"/>
    <w:rsid w:val="00ED7B92"/>
    <w:rsid w:val="00ED7BDB"/>
    <w:rsid w:val="00EE0866"/>
    <w:rsid w:val="00EE1774"/>
    <w:rsid w:val="00EE1A4D"/>
    <w:rsid w:val="00EE1FEA"/>
    <w:rsid w:val="00EE244C"/>
    <w:rsid w:val="00EE2643"/>
    <w:rsid w:val="00EE2BED"/>
    <w:rsid w:val="00EE308A"/>
    <w:rsid w:val="00EE34D9"/>
    <w:rsid w:val="00EE374B"/>
    <w:rsid w:val="00EE3EF6"/>
    <w:rsid w:val="00EE6918"/>
    <w:rsid w:val="00EE7742"/>
    <w:rsid w:val="00EF077A"/>
    <w:rsid w:val="00EF07B6"/>
    <w:rsid w:val="00EF107C"/>
    <w:rsid w:val="00F01308"/>
    <w:rsid w:val="00F01850"/>
    <w:rsid w:val="00F02309"/>
    <w:rsid w:val="00F02BF9"/>
    <w:rsid w:val="00F06029"/>
    <w:rsid w:val="00F071BA"/>
    <w:rsid w:val="00F07C6E"/>
    <w:rsid w:val="00F105C3"/>
    <w:rsid w:val="00F11BB5"/>
    <w:rsid w:val="00F1282D"/>
    <w:rsid w:val="00F12C32"/>
    <w:rsid w:val="00F1417B"/>
    <w:rsid w:val="00F142DF"/>
    <w:rsid w:val="00F1449B"/>
    <w:rsid w:val="00F14C49"/>
    <w:rsid w:val="00F15BFC"/>
    <w:rsid w:val="00F15D83"/>
    <w:rsid w:val="00F16C14"/>
    <w:rsid w:val="00F1742D"/>
    <w:rsid w:val="00F17EBC"/>
    <w:rsid w:val="00F20DFE"/>
    <w:rsid w:val="00F2169A"/>
    <w:rsid w:val="00F22A61"/>
    <w:rsid w:val="00F253CD"/>
    <w:rsid w:val="00F25BE4"/>
    <w:rsid w:val="00F25DCA"/>
    <w:rsid w:val="00F26549"/>
    <w:rsid w:val="00F26F45"/>
    <w:rsid w:val="00F305D8"/>
    <w:rsid w:val="00F338D0"/>
    <w:rsid w:val="00F33BBD"/>
    <w:rsid w:val="00F33C92"/>
    <w:rsid w:val="00F343F8"/>
    <w:rsid w:val="00F34436"/>
    <w:rsid w:val="00F3444B"/>
    <w:rsid w:val="00F34B99"/>
    <w:rsid w:val="00F35AC8"/>
    <w:rsid w:val="00F367A3"/>
    <w:rsid w:val="00F36A08"/>
    <w:rsid w:val="00F37A36"/>
    <w:rsid w:val="00F406A9"/>
    <w:rsid w:val="00F447FD"/>
    <w:rsid w:val="00F44C73"/>
    <w:rsid w:val="00F452BC"/>
    <w:rsid w:val="00F474DB"/>
    <w:rsid w:val="00F50752"/>
    <w:rsid w:val="00F50AAA"/>
    <w:rsid w:val="00F52DAB"/>
    <w:rsid w:val="00F53174"/>
    <w:rsid w:val="00F53DEC"/>
    <w:rsid w:val="00F543F0"/>
    <w:rsid w:val="00F559C7"/>
    <w:rsid w:val="00F5690A"/>
    <w:rsid w:val="00F60F04"/>
    <w:rsid w:val="00F6226D"/>
    <w:rsid w:val="00F62957"/>
    <w:rsid w:val="00F62BD8"/>
    <w:rsid w:val="00F658A7"/>
    <w:rsid w:val="00F65C69"/>
    <w:rsid w:val="00F65D1C"/>
    <w:rsid w:val="00F660E3"/>
    <w:rsid w:val="00F664A7"/>
    <w:rsid w:val="00F672C2"/>
    <w:rsid w:val="00F7027E"/>
    <w:rsid w:val="00F70CA9"/>
    <w:rsid w:val="00F726D3"/>
    <w:rsid w:val="00F7355E"/>
    <w:rsid w:val="00F74AB5"/>
    <w:rsid w:val="00F7596D"/>
    <w:rsid w:val="00F75E01"/>
    <w:rsid w:val="00F76231"/>
    <w:rsid w:val="00F7667C"/>
    <w:rsid w:val="00F77516"/>
    <w:rsid w:val="00F777EA"/>
    <w:rsid w:val="00F77B36"/>
    <w:rsid w:val="00F81B7E"/>
    <w:rsid w:val="00F81C74"/>
    <w:rsid w:val="00F81D29"/>
    <w:rsid w:val="00F82891"/>
    <w:rsid w:val="00F8457F"/>
    <w:rsid w:val="00F856AB"/>
    <w:rsid w:val="00F85D20"/>
    <w:rsid w:val="00F86527"/>
    <w:rsid w:val="00F86B55"/>
    <w:rsid w:val="00F87320"/>
    <w:rsid w:val="00F90B54"/>
    <w:rsid w:val="00F91458"/>
    <w:rsid w:val="00F91C4D"/>
    <w:rsid w:val="00F91FF5"/>
    <w:rsid w:val="00F9233A"/>
    <w:rsid w:val="00F92752"/>
    <w:rsid w:val="00F92FD9"/>
    <w:rsid w:val="00F96351"/>
    <w:rsid w:val="00F96C1C"/>
    <w:rsid w:val="00F978F9"/>
    <w:rsid w:val="00F97B80"/>
    <w:rsid w:val="00FA0DDA"/>
    <w:rsid w:val="00FA1834"/>
    <w:rsid w:val="00FA18E6"/>
    <w:rsid w:val="00FA1A6C"/>
    <w:rsid w:val="00FA2E88"/>
    <w:rsid w:val="00FA42AD"/>
    <w:rsid w:val="00FA4A2C"/>
    <w:rsid w:val="00FA4F73"/>
    <w:rsid w:val="00FA6684"/>
    <w:rsid w:val="00FA6AAE"/>
    <w:rsid w:val="00FA731E"/>
    <w:rsid w:val="00FB0439"/>
    <w:rsid w:val="00FB0E0D"/>
    <w:rsid w:val="00FB2B38"/>
    <w:rsid w:val="00FB4804"/>
    <w:rsid w:val="00FB488B"/>
    <w:rsid w:val="00FB48FB"/>
    <w:rsid w:val="00FB54AC"/>
    <w:rsid w:val="00FB5D76"/>
    <w:rsid w:val="00FC070C"/>
    <w:rsid w:val="00FC4039"/>
    <w:rsid w:val="00FC45E6"/>
    <w:rsid w:val="00FC4717"/>
    <w:rsid w:val="00FC6358"/>
    <w:rsid w:val="00FC6741"/>
    <w:rsid w:val="00FC6AF1"/>
    <w:rsid w:val="00FC7D0B"/>
    <w:rsid w:val="00FD0A99"/>
    <w:rsid w:val="00FD0CD1"/>
    <w:rsid w:val="00FD320D"/>
    <w:rsid w:val="00FD5DDD"/>
    <w:rsid w:val="00FD6B9D"/>
    <w:rsid w:val="00FD72B6"/>
    <w:rsid w:val="00FD74A9"/>
    <w:rsid w:val="00FE012B"/>
    <w:rsid w:val="00FE0A75"/>
    <w:rsid w:val="00FE209D"/>
    <w:rsid w:val="00FE23DE"/>
    <w:rsid w:val="00FE34E7"/>
    <w:rsid w:val="00FE3E1B"/>
    <w:rsid w:val="00FE3EDF"/>
    <w:rsid w:val="00FE42E8"/>
    <w:rsid w:val="00FE43D8"/>
    <w:rsid w:val="00FE52C4"/>
    <w:rsid w:val="00FE542D"/>
    <w:rsid w:val="00FE60E4"/>
    <w:rsid w:val="00FE6283"/>
    <w:rsid w:val="00FE682C"/>
    <w:rsid w:val="00FE71E4"/>
    <w:rsid w:val="00FF0093"/>
    <w:rsid w:val="00FF14B3"/>
    <w:rsid w:val="00FF245D"/>
    <w:rsid w:val="00FF2EF8"/>
    <w:rsid w:val="00FF381F"/>
    <w:rsid w:val="00FF3F65"/>
    <w:rsid w:val="00FF42D4"/>
    <w:rsid w:val="00FF5603"/>
    <w:rsid w:val="00FF58C2"/>
    <w:rsid w:val="00FF6E8D"/>
    <w:rsid w:val="01BE2720"/>
    <w:rsid w:val="01EA639E"/>
    <w:rsid w:val="02412680"/>
    <w:rsid w:val="031418F0"/>
    <w:rsid w:val="032863F4"/>
    <w:rsid w:val="03676684"/>
    <w:rsid w:val="04E91736"/>
    <w:rsid w:val="0530107F"/>
    <w:rsid w:val="077420AA"/>
    <w:rsid w:val="085D0CDE"/>
    <w:rsid w:val="0886328D"/>
    <w:rsid w:val="088C1F1C"/>
    <w:rsid w:val="09C41544"/>
    <w:rsid w:val="09DE0562"/>
    <w:rsid w:val="0A2251E1"/>
    <w:rsid w:val="0A276CF4"/>
    <w:rsid w:val="0A5A6EC3"/>
    <w:rsid w:val="0A79447B"/>
    <w:rsid w:val="0BAB4EAA"/>
    <w:rsid w:val="0C8E265F"/>
    <w:rsid w:val="0C9238AB"/>
    <w:rsid w:val="0D4A5C7B"/>
    <w:rsid w:val="0DA32213"/>
    <w:rsid w:val="0DF76BF5"/>
    <w:rsid w:val="0FB25716"/>
    <w:rsid w:val="0FEA0592"/>
    <w:rsid w:val="0FF545AD"/>
    <w:rsid w:val="10C91018"/>
    <w:rsid w:val="119D4198"/>
    <w:rsid w:val="11CF0E5E"/>
    <w:rsid w:val="1227460A"/>
    <w:rsid w:val="134A05BD"/>
    <w:rsid w:val="14127D9C"/>
    <w:rsid w:val="141D3475"/>
    <w:rsid w:val="145E2929"/>
    <w:rsid w:val="146D3175"/>
    <w:rsid w:val="149048A2"/>
    <w:rsid w:val="169828FB"/>
    <w:rsid w:val="17367C2F"/>
    <w:rsid w:val="17691D09"/>
    <w:rsid w:val="185F4514"/>
    <w:rsid w:val="195F5A09"/>
    <w:rsid w:val="1A487232"/>
    <w:rsid w:val="1ACE32C3"/>
    <w:rsid w:val="1B2A3091"/>
    <w:rsid w:val="1B9F6378"/>
    <w:rsid w:val="1BD31465"/>
    <w:rsid w:val="1BD66888"/>
    <w:rsid w:val="1C144A0C"/>
    <w:rsid w:val="1C616EE6"/>
    <w:rsid w:val="22732A54"/>
    <w:rsid w:val="24F32B97"/>
    <w:rsid w:val="252302E4"/>
    <w:rsid w:val="256A4061"/>
    <w:rsid w:val="2705317A"/>
    <w:rsid w:val="27887A3C"/>
    <w:rsid w:val="278A5E74"/>
    <w:rsid w:val="27E519B5"/>
    <w:rsid w:val="28A4173C"/>
    <w:rsid w:val="28E72E42"/>
    <w:rsid w:val="292B3A12"/>
    <w:rsid w:val="2AB74AC0"/>
    <w:rsid w:val="2C6C28F4"/>
    <w:rsid w:val="2D6135FD"/>
    <w:rsid w:val="2DA20BD9"/>
    <w:rsid w:val="2F2D4BB6"/>
    <w:rsid w:val="2FC6632F"/>
    <w:rsid w:val="30981B86"/>
    <w:rsid w:val="30BF3D80"/>
    <w:rsid w:val="31366AB3"/>
    <w:rsid w:val="31C71C48"/>
    <w:rsid w:val="31FF6DEC"/>
    <w:rsid w:val="323E39E4"/>
    <w:rsid w:val="32766A06"/>
    <w:rsid w:val="34D010CA"/>
    <w:rsid w:val="34D523DE"/>
    <w:rsid w:val="355B1DD6"/>
    <w:rsid w:val="361753C8"/>
    <w:rsid w:val="36595F6A"/>
    <w:rsid w:val="3748350E"/>
    <w:rsid w:val="387915E3"/>
    <w:rsid w:val="389E0E09"/>
    <w:rsid w:val="397D5FDF"/>
    <w:rsid w:val="3A191B72"/>
    <w:rsid w:val="3B393A81"/>
    <w:rsid w:val="3BD65A90"/>
    <w:rsid w:val="3C8631DB"/>
    <w:rsid w:val="3C8C7D0F"/>
    <w:rsid w:val="3C9F429D"/>
    <w:rsid w:val="3CAB1041"/>
    <w:rsid w:val="3EF62760"/>
    <w:rsid w:val="3F6B490A"/>
    <w:rsid w:val="3F937FDE"/>
    <w:rsid w:val="3FEC53D8"/>
    <w:rsid w:val="3FF00293"/>
    <w:rsid w:val="40EB5D02"/>
    <w:rsid w:val="40F30A0E"/>
    <w:rsid w:val="41F8359E"/>
    <w:rsid w:val="41FD5CED"/>
    <w:rsid w:val="427723B9"/>
    <w:rsid w:val="457741CF"/>
    <w:rsid w:val="45C35E50"/>
    <w:rsid w:val="45DC6D66"/>
    <w:rsid w:val="46343CA8"/>
    <w:rsid w:val="470C18A4"/>
    <w:rsid w:val="471C5C4A"/>
    <w:rsid w:val="472C3839"/>
    <w:rsid w:val="482901D8"/>
    <w:rsid w:val="491B3F2D"/>
    <w:rsid w:val="493F63F1"/>
    <w:rsid w:val="4A37625A"/>
    <w:rsid w:val="4AC7411F"/>
    <w:rsid w:val="4B0646FA"/>
    <w:rsid w:val="4B2772B4"/>
    <w:rsid w:val="4B553B74"/>
    <w:rsid w:val="4E4D159D"/>
    <w:rsid w:val="4E6001FB"/>
    <w:rsid w:val="4F5E1D95"/>
    <w:rsid w:val="50913BDC"/>
    <w:rsid w:val="51551DDF"/>
    <w:rsid w:val="51C67C6A"/>
    <w:rsid w:val="51F31C9E"/>
    <w:rsid w:val="52E00474"/>
    <w:rsid w:val="53A72416"/>
    <w:rsid w:val="53EE7C48"/>
    <w:rsid w:val="54A26BF6"/>
    <w:rsid w:val="555B08C5"/>
    <w:rsid w:val="555D3FFE"/>
    <w:rsid w:val="56BD3845"/>
    <w:rsid w:val="5720429C"/>
    <w:rsid w:val="587324EC"/>
    <w:rsid w:val="58E16519"/>
    <w:rsid w:val="5960230F"/>
    <w:rsid w:val="5A5650CB"/>
    <w:rsid w:val="5A5B1EAE"/>
    <w:rsid w:val="5AE80475"/>
    <w:rsid w:val="5AED1980"/>
    <w:rsid w:val="5B89325A"/>
    <w:rsid w:val="5C1F1698"/>
    <w:rsid w:val="5C2327C7"/>
    <w:rsid w:val="5D1B08C6"/>
    <w:rsid w:val="5D2A6769"/>
    <w:rsid w:val="5ECE2286"/>
    <w:rsid w:val="60580B80"/>
    <w:rsid w:val="60A911B8"/>
    <w:rsid w:val="60BF3DBF"/>
    <w:rsid w:val="60EA24F6"/>
    <w:rsid w:val="60EA7AA7"/>
    <w:rsid w:val="61517C15"/>
    <w:rsid w:val="62092E18"/>
    <w:rsid w:val="65631A5C"/>
    <w:rsid w:val="658302B0"/>
    <w:rsid w:val="659274C1"/>
    <w:rsid w:val="66714ADB"/>
    <w:rsid w:val="66D20EB6"/>
    <w:rsid w:val="66ED5A81"/>
    <w:rsid w:val="67890D19"/>
    <w:rsid w:val="69DE0CFA"/>
    <w:rsid w:val="6B243A3B"/>
    <w:rsid w:val="6C2C4852"/>
    <w:rsid w:val="6C646AEE"/>
    <w:rsid w:val="6CBF4182"/>
    <w:rsid w:val="6D13457C"/>
    <w:rsid w:val="6D89532A"/>
    <w:rsid w:val="6E0944CB"/>
    <w:rsid w:val="6EDB5743"/>
    <w:rsid w:val="6F694113"/>
    <w:rsid w:val="6FCE4C34"/>
    <w:rsid w:val="707C6E7F"/>
    <w:rsid w:val="71263C48"/>
    <w:rsid w:val="718A336F"/>
    <w:rsid w:val="71C11FE4"/>
    <w:rsid w:val="72877F00"/>
    <w:rsid w:val="73A1672B"/>
    <w:rsid w:val="74EE65C9"/>
    <w:rsid w:val="757B56C2"/>
    <w:rsid w:val="762810A5"/>
    <w:rsid w:val="76666820"/>
    <w:rsid w:val="76A10290"/>
    <w:rsid w:val="77F33721"/>
    <w:rsid w:val="78442AC7"/>
    <w:rsid w:val="78B051C3"/>
    <w:rsid w:val="78D06FA2"/>
    <w:rsid w:val="79237F02"/>
    <w:rsid w:val="79C01408"/>
    <w:rsid w:val="7ADA575E"/>
    <w:rsid w:val="7B5619EF"/>
    <w:rsid w:val="7BBA1413"/>
    <w:rsid w:val="7C445CEB"/>
    <w:rsid w:val="7D0C14A1"/>
    <w:rsid w:val="7D2A660C"/>
    <w:rsid w:val="7D692F54"/>
    <w:rsid w:val="7D7C3D6F"/>
    <w:rsid w:val="7FD41D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semiHidden="0" w:name="footnote reference"/>
    <w:lsdException w:qFormat="1" w:unhideWhenUsed="0" w:uiPriority="99"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iPriority="0" w:name="E-mail Signature"/>
    <w:lsdException w:qFormat="1"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99" w:semiHidden="0" w:name="HTML Preformatted"/>
    <w:lsdException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69"/>
    <w:autoRedefine/>
    <w:qFormat/>
    <w:uiPriority w:val="0"/>
    <w:pPr>
      <w:widowControl/>
      <w:numPr>
        <w:ilvl w:val="0"/>
        <w:numId w:val="1"/>
      </w:numPr>
      <w:spacing w:before="100" w:beforeAutospacing="1" w:after="100" w:afterAutospacing="1"/>
      <w:jc w:val="left"/>
      <w:outlineLvl w:val="0"/>
    </w:pPr>
    <w:rPr>
      <w:rFonts w:ascii="宋体" w:hAnsi="宋体"/>
      <w:b/>
      <w:bCs/>
      <w:kern w:val="36"/>
      <w:sz w:val="48"/>
      <w:szCs w:val="48"/>
    </w:rPr>
  </w:style>
  <w:style w:type="paragraph" w:styleId="3">
    <w:name w:val="heading 2"/>
    <w:basedOn w:val="1"/>
    <w:next w:val="1"/>
    <w:link w:val="70"/>
    <w:qFormat/>
    <w:uiPriority w:val="0"/>
    <w:pPr>
      <w:keepNext/>
      <w:keepLines/>
      <w:numPr>
        <w:ilvl w:val="1"/>
        <w:numId w:val="1"/>
      </w:numPr>
      <w:spacing w:before="260" w:after="260" w:line="416" w:lineRule="auto"/>
      <w:outlineLvl w:val="1"/>
    </w:pPr>
    <w:rPr>
      <w:rFonts w:ascii="Calibri Light" w:hAnsi="Calibri Light"/>
      <w:b/>
      <w:bCs/>
      <w:sz w:val="32"/>
      <w:szCs w:val="32"/>
    </w:rPr>
  </w:style>
  <w:style w:type="paragraph" w:styleId="4">
    <w:name w:val="heading 3"/>
    <w:basedOn w:val="1"/>
    <w:next w:val="1"/>
    <w:link w:val="71"/>
    <w:qFormat/>
    <w:uiPriority w:val="0"/>
    <w:pPr>
      <w:keepNext/>
      <w:keepLines/>
      <w:numPr>
        <w:ilvl w:val="2"/>
        <w:numId w:val="1"/>
      </w:numPr>
      <w:outlineLvl w:val="2"/>
    </w:pPr>
    <w:rPr>
      <w:rFonts w:eastAsia="黑体"/>
      <w:b/>
      <w:bCs/>
      <w:szCs w:val="21"/>
    </w:rPr>
  </w:style>
  <w:style w:type="paragraph" w:styleId="5">
    <w:name w:val="heading 4"/>
    <w:basedOn w:val="1"/>
    <w:next w:val="1"/>
    <w:link w:val="204"/>
    <w:qFormat/>
    <w:uiPriority w:val="9"/>
    <w:pPr>
      <w:keepNext/>
      <w:keepLines/>
      <w:spacing w:before="280" w:after="290" w:line="376" w:lineRule="auto"/>
      <w:ind w:left="200" w:leftChars="200"/>
      <w:outlineLvl w:val="3"/>
    </w:pPr>
    <w:rPr>
      <w:rFonts w:ascii="Arial" w:hAnsi="Arial" w:eastAsia="黑体"/>
      <w:b/>
      <w:bCs/>
      <w:sz w:val="28"/>
      <w:szCs w:val="28"/>
    </w:rPr>
  </w:style>
  <w:style w:type="paragraph" w:styleId="6">
    <w:name w:val="heading 5"/>
    <w:basedOn w:val="1"/>
    <w:next w:val="1"/>
    <w:link w:val="205"/>
    <w:qFormat/>
    <w:uiPriority w:val="9"/>
    <w:pPr>
      <w:keepNext/>
      <w:keepLines/>
      <w:spacing w:before="280" w:after="290" w:line="376" w:lineRule="auto"/>
      <w:ind w:left="200" w:leftChars="200"/>
      <w:outlineLvl w:val="4"/>
    </w:pPr>
    <w:rPr>
      <w:b/>
      <w:bCs/>
      <w:sz w:val="28"/>
      <w:szCs w:val="28"/>
    </w:rPr>
  </w:style>
  <w:style w:type="paragraph" w:styleId="7">
    <w:name w:val="heading 6"/>
    <w:basedOn w:val="1"/>
    <w:next w:val="1"/>
    <w:link w:val="206"/>
    <w:qFormat/>
    <w:uiPriority w:val="0"/>
    <w:pPr>
      <w:keepNext/>
      <w:keepLines/>
      <w:spacing w:before="240" w:after="64" w:line="320" w:lineRule="auto"/>
      <w:ind w:left="200" w:leftChars="200"/>
      <w:outlineLvl w:val="5"/>
    </w:pPr>
    <w:rPr>
      <w:rFonts w:ascii="Arial" w:hAnsi="Arial" w:eastAsia="黑体"/>
      <w:b/>
      <w:bCs/>
      <w:sz w:val="24"/>
    </w:rPr>
  </w:style>
  <w:style w:type="paragraph" w:styleId="8">
    <w:name w:val="heading 7"/>
    <w:basedOn w:val="1"/>
    <w:next w:val="1"/>
    <w:link w:val="207"/>
    <w:qFormat/>
    <w:uiPriority w:val="0"/>
    <w:pPr>
      <w:keepNext/>
      <w:keepLines/>
      <w:spacing w:before="240" w:after="64" w:line="320" w:lineRule="auto"/>
      <w:ind w:left="200" w:leftChars="200"/>
      <w:outlineLvl w:val="6"/>
    </w:pPr>
    <w:rPr>
      <w:b/>
      <w:bCs/>
      <w:sz w:val="24"/>
    </w:rPr>
  </w:style>
  <w:style w:type="paragraph" w:styleId="9">
    <w:name w:val="heading 8"/>
    <w:basedOn w:val="1"/>
    <w:next w:val="1"/>
    <w:link w:val="208"/>
    <w:qFormat/>
    <w:uiPriority w:val="0"/>
    <w:pPr>
      <w:keepNext/>
      <w:keepLines/>
      <w:spacing w:before="240" w:after="64" w:line="320" w:lineRule="auto"/>
      <w:ind w:left="200" w:leftChars="200"/>
      <w:outlineLvl w:val="7"/>
    </w:pPr>
    <w:rPr>
      <w:rFonts w:ascii="Arial" w:hAnsi="Arial" w:eastAsia="黑体"/>
      <w:sz w:val="24"/>
    </w:rPr>
  </w:style>
  <w:style w:type="paragraph" w:styleId="10">
    <w:name w:val="heading 9"/>
    <w:basedOn w:val="1"/>
    <w:next w:val="1"/>
    <w:link w:val="209"/>
    <w:qFormat/>
    <w:uiPriority w:val="0"/>
    <w:pPr>
      <w:keepNext/>
      <w:keepLines/>
      <w:spacing w:before="240" w:after="64" w:line="320" w:lineRule="auto"/>
      <w:ind w:left="200" w:leftChars="200"/>
      <w:outlineLvl w:val="8"/>
    </w:pPr>
    <w:rPr>
      <w:rFonts w:ascii="Arial" w:hAnsi="Arial" w:eastAsia="黑体"/>
      <w:szCs w:val="21"/>
    </w:rPr>
  </w:style>
  <w:style w:type="character" w:default="1" w:styleId="52">
    <w:name w:val="Default Paragraph Font"/>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semiHidden/>
    <w:qFormat/>
    <w:uiPriority w:val="0"/>
    <w:pPr>
      <w:tabs>
        <w:tab w:val="right" w:leader="dot" w:pos="9241"/>
      </w:tabs>
      <w:ind w:firstLine="505" w:firstLineChars="500"/>
      <w:jc w:val="left"/>
    </w:pPr>
    <w:rPr>
      <w:rFonts w:ascii="宋体"/>
      <w:szCs w:val="21"/>
    </w:rPr>
  </w:style>
  <w:style w:type="paragraph" w:styleId="12">
    <w:name w:val="index 8"/>
    <w:basedOn w:val="1"/>
    <w:next w:val="1"/>
    <w:autoRedefine/>
    <w:qFormat/>
    <w:uiPriority w:val="0"/>
    <w:pPr>
      <w:ind w:left="1680" w:hanging="210"/>
      <w:jc w:val="left"/>
    </w:pPr>
    <w:rPr>
      <w:rFonts w:ascii="Calibri" w:hAnsi="Calibri"/>
      <w:sz w:val="20"/>
      <w:szCs w:val="20"/>
    </w:rPr>
  </w:style>
  <w:style w:type="paragraph" w:styleId="13">
    <w:name w:val="caption"/>
    <w:basedOn w:val="1"/>
    <w:next w:val="1"/>
    <w:autoRedefine/>
    <w:qFormat/>
    <w:uiPriority w:val="0"/>
    <w:pPr>
      <w:spacing w:before="152" w:after="160"/>
    </w:pPr>
    <w:rPr>
      <w:rFonts w:ascii="Arial" w:hAnsi="Arial" w:eastAsia="黑体" w:cs="Arial"/>
      <w:sz w:val="20"/>
      <w:szCs w:val="20"/>
    </w:rPr>
  </w:style>
  <w:style w:type="paragraph" w:styleId="14">
    <w:name w:val="index 5"/>
    <w:basedOn w:val="1"/>
    <w:next w:val="1"/>
    <w:qFormat/>
    <w:uiPriority w:val="0"/>
    <w:pPr>
      <w:ind w:left="1050" w:hanging="210"/>
      <w:jc w:val="left"/>
    </w:pPr>
    <w:rPr>
      <w:rFonts w:ascii="Calibri" w:hAnsi="Calibri"/>
      <w:sz w:val="20"/>
      <w:szCs w:val="20"/>
    </w:rPr>
  </w:style>
  <w:style w:type="paragraph" w:styleId="15">
    <w:name w:val="Document Map"/>
    <w:basedOn w:val="1"/>
    <w:link w:val="210"/>
    <w:autoRedefine/>
    <w:semiHidden/>
    <w:qFormat/>
    <w:uiPriority w:val="0"/>
    <w:pPr>
      <w:shd w:val="clear" w:color="auto" w:fill="000080"/>
    </w:pPr>
  </w:style>
  <w:style w:type="paragraph" w:styleId="16">
    <w:name w:val="annotation text"/>
    <w:basedOn w:val="1"/>
    <w:link w:val="72"/>
    <w:autoRedefine/>
    <w:qFormat/>
    <w:uiPriority w:val="99"/>
    <w:pPr>
      <w:jc w:val="left"/>
    </w:pPr>
  </w:style>
  <w:style w:type="paragraph" w:styleId="17">
    <w:name w:val="index 6"/>
    <w:basedOn w:val="1"/>
    <w:next w:val="1"/>
    <w:autoRedefine/>
    <w:qFormat/>
    <w:uiPriority w:val="0"/>
    <w:pPr>
      <w:ind w:left="1260" w:hanging="210"/>
      <w:jc w:val="left"/>
    </w:pPr>
    <w:rPr>
      <w:rFonts w:ascii="Calibri" w:hAnsi="Calibri"/>
      <w:sz w:val="20"/>
      <w:szCs w:val="20"/>
    </w:rPr>
  </w:style>
  <w:style w:type="paragraph" w:styleId="18">
    <w:name w:val="Body Text Indent"/>
    <w:basedOn w:val="1"/>
    <w:link w:val="211"/>
    <w:uiPriority w:val="0"/>
    <w:pPr>
      <w:ind w:left="359" w:leftChars="171" w:firstLine="1"/>
      <w:jc w:val="left"/>
    </w:pPr>
  </w:style>
  <w:style w:type="paragraph" w:styleId="19">
    <w:name w:val="List Continue"/>
    <w:basedOn w:val="1"/>
    <w:qFormat/>
    <w:uiPriority w:val="0"/>
    <w:pPr>
      <w:spacing w:after="120"/>
      <w:ind w:left="420" w:leftChars="200"/>
    </w:pPr>
  </w:style>
  <w:style w:type="paragraph" w:styleId="20">
    <w:name w:val="HTML Address"/>
    <w:basedOn w:val="1"/>
    <w:link w:val="212"/>
    <w:qFormat/>
    <w:uiPriority w:val="0"/>
    <w:pPr>
      <w:ind w:left="200" w:leftChars="200"/>
    </w:pPr>
    <w:rPr>
      <w:i/>
      <w:iCs/>
    </w:rPr>
  </w:style>
  <w:style w:type="paragraph" w:styleId="21">
    <w:name w:val="index 4"/>
    <w:basedOn w:val="1"/>
    <w:next w:val="1"/>
    <w:qFormat/>
    <w:uiPriority w:val="0"/>
    <w:pPr>
      <w:ind w:left="840" w:hanging="210"/>
      <w:jc w:val="left"/>
    </w:pPr>
    <w:rPr>
      <w:rFonts w:ascii="Calibri" w:hAnsi="Calibri"/>
      <w:sz w:val="20"/>
      <w:szCs w:val="20"/>
    </w:rPr>
  </w:style>
  <w:style w:type="paragraph" w:styleId="22">
    <w:name w:val="toc 5"/>
    <w:basedOn w:val="1"/>
    <w:next w:val="1"/>
    <w:autoRedefine/>
    <w:semiHidden/>
    <w:qFormat/>
    <w:uiPriority w:val="0"/>
    <w:pPr>
      <w:tabs>
        <w:tab w:val="right" w:leader="dot" w:pos="9241"/>
      </w:tabs>
      <w:ind w:firstLine="300" w:firstLineChars="300"/>
      <w:jc w:val="left"/>
    </w:pPr>
    <w:rPr>
      <w:rFonts w:ascii="宋体"/>
      <w:szCs w:val="21"/>
    </w:rPr>
  </w:style>
  <w:style w:type="paragraph" w:styleId="23">
    <w:name w:val="toc 3"/>
    <w:basedOn w:val="1"/>
    <w:next w:val="1"/>
    <w:autoRedefine/>
    <w:qFormat/>
    <w:uiPriority w:val="39"/>
    <w:pPr>
      <w:tabs>
        <w:tab w:val="right" w:leader="dot" w:pos="9241"/>
      </w:tabs>
      <w:ind w:firstLine="102" w:firstLineChars="100"/>
      <w:jc w:val="left"/>
    </w:pPr>
    <w:rPr>
      <w:rFonts w:ascii="宋体"/>
      <w:szCs w:val="21"/>
    </w:rPr>
  </w:style>
  <w:style w:type="paragraph" w:styleId="24">
    <w:name w:val="Plain Text"/>
    <w:basedOn w:val="1"/>
    <w:link w:val="213"/>
    <w:uiPriority w:val="0"/>
    <w:pPr>
      <w:ind w:left="200" w:leftChars="200"/>
    </w:pPr>
    <w:rPr>
      <w:rFonts w:ascii="宋体" w:hAnsi="Courier New" w:cs="Courier New"/>
      <w:szCs w:val="21"/>
    </w:rPr>
  </w:style>
  <w:style w:type="paragraph" w:styleId="25">
    <w:name w:val="toc 8"/>
    <w:basedOn w:val="1"/>
    <w:next w:val="1"/>
    <w:autoRedefine/>
    <w:semiHidden/>
    <w:qFormat/>
    <w:uiPriority w:val="0"/>
    <w:pPr>
      <w:tabs>
        <w:tab w:val="right" w:leader="dot" w:pos="9241"/>
      </w:tabs>
      <w:ind w:firstLine="607" w:firstLineChars="600"/>
      <w:jc w:val="left"/>
    </w:pPr>
    <w:rPr>
      <w:rFonts w:ascii="宋体"/>
      <w:szCs w:val="21"/>
    </w:rPr>
  </w:style>
  <w:style w:type="paragraph" w:styleId="26">
    <w:name w:val="index 3"/>
    <w:basedOn w:val="1"/>
    <w:next w:val="1"/>
    <w:autoRedefine/>
    <w:qFormat/>
    <w:uiPriority w:val="0"/>
    <w:pPr>
      <w:ind w:left="630" w:hanging="210"/>
      <w:jc w:val="left"/>
    </w:pPr>
    <w:rPr>
      <w:rFonts w:ascii="Calibri" w:hAnsi="Calibri"/>
      <w:sz w:val="20"/>
      <w:szCs w:val="20"/>
    </w:rPr>
  </w:style>
  <w:style w:type="paragraph" w:styleId="27">
    <w:name w:val="Date"/>
    <w:basedOn w:val="1"/>
    <w:next w:val="1"/>
    <w:link w:val="214"/>
    <w:qFormat/>
    <w:uiPriority w:val="0"/>
    <w:pPr>
      <w:ind w:left="100" w:leftChars="2500"/>
    </w:pPr>
    <w:rPr>
      <w:rFonts w:ascii="宋体"/>
      <w:kern w:val="0"/>
      <w:szCs w:val="21"/>
    </w:rPr>
  </w:style>
  <w:style w:type="paragraph" w:styleId="28">
    <w:name w:val="Body Text Indent 2"/>
    <w:basedOn w:val="1"/>
    <w:link w:val="215"/>
    <w:uiPriority w:val="0"/>
    <w:pPr>
      <w:ind w:left="200" w:leftChars="200" w:hanging="2"/>
      <w:jc w:val="left"/>
    </w:pPr>
  </w:style>
  <w:style w:type="paragraph" w:styleId="29">
    <w:name w:val="endnote text"/>
    <w:basedOn w:val="1"/>
    <w:semiHidden/>
    <w:qFormat/>
    <w:uiPriority w:val="0"/>
    <w:pPr>
      <w:snapToGrid w:val="0"/>
      <w:jc w:val="left"/>
    </w:pPr>
  </w:style>
  <w:style w:type="paragraph" w:styleId="30">
    <w:name w:val="Balloon Text"/>
    <w:basedOn w:val="1"/>
    <w:link w:val="73"/>
    <w:qFormat/>
    <w:uiPriority w:val="0"/>
    <w:rPr>
      <w:sz w:val="18"/>
      <w:szCs w:val="18"/>
    </w:rPr>
  </w:style>
  <w:style w:type="paragraph" w:styleId="31">
    <w:name w:val="footer"/>
    <w:basedOn w:val="1"/>
    <w:link w:val="216"/>
    <w:autoRedefine/>
    <w:qFormat/>
    <w:uiPriority w:val="99"/>
    <w:pPr>
      <w:snapToGrid w:val="0"/>
      <w:ind w:right="210" w:rightChars="100"/>
      <w:jc w:val="right"/>
    </w:pPr>
    <w:rPr>
      <w:sz w:val="18"/>
      <w:szCs w:val="18"/>
    </w:rPr>
  </w:style>
  <w:style w:type="paragraph" w:styleId="32">
    <w:name w:val="header"/>
    <w:basedOn w:val="1"/>
    <w:link w:val="217"/>
    <w:autoRedefine/>
    <w:qFormat/>
    <w:uiPriority w:val="0"/>
    <w:pPr>
      <w:snapToGrid w:val="0"/>
      <w:jc w:val="left"/>
    </w:pPr>
    <w:rPr>
      <w:sz w:val="18"/>
      <w:szCs w:val="18"/>
    </w:rPr>
  </w:style>
  <w:style w:type="paragraph" w:styleId="33">
    <w:name w:val="toc 1"/>
    <w:basedOn w:val="1"/>
    <w:next w:val="1"/>
    <w:autoRedefine/>
    <w:qFormat/>
    <w:uiPriority w:val="39"/>
    <w:pPr>
      <w:tabs>
        <w:tab w:val="right" w:leader="dot" w:pos="9241"/>
      </w:tabs>
      <w:spacing w:beforeLines="25" w:afterLines="25"/>
      <w:jc w:val="left"/>
    </w:pPr>
    <w:rPr>
      <w:rFonts w:ascii="宋体"/>
      <w:szCs w:val="21"/>
    </w:rPr>
  </w:style>
  <w:style w:type="paragraph" w:styleId="34">
    <w:name w:val="toc 4"/>
    <w:basedOn w:val="1"/>
    <w:next w:val="1"/>
    <w:autoRedefine/>
    <w:semiHidden/>
    <w:qFormat/>
    <w:uiPriority w:val="0"/>
    <w:pPr>
      <w:tabs>
        <w:tab w:val="right" w:leader="dot" w:pos="9241"/>
      </w:tabs>
      <w:ind w:firstLine="198" w:firstLineChars="200"/>
      <w:jc w:val="left"/>
    </w:pPr>
    <w:rPr>
      <w:rFonts w:ascii="宋体"/>
      <w:szCs w:val="21"/>
    </w:rPr>
  </w:style>
  <w:style w:type="paragraph" w:styleId="35">
    <w:name w:val="index heading"/>
    <w:basedOn w:val="1"/>
    <w:next w:val="36"/>
    <w:autoRedefine/>
    <w:qFormat/>
    <w:uiPriority w:val="0"/>
    <w:pPr>
      <w:spacing w:before="120" w:after="120"/>
      <w:jc w:val="center"/>
    </w:pPr>
    <w:rPr>
      <w:rFonts w:ascii="Calibri" w:hAnsi="Calibri"/>
      <w:b/>
      <w:bCs/>
      <w:iCs/>
      <w:szCs w:val="20"/>
    </w:rPr>
  </w:style>
  <w:style w:type="paragraph" w:styleId="36">
    <w:name w:val="index 1"/>
    <w:basedOn w:val="1"/>
    <w:next w:val="37"/>
    <w:autoRedefine/>
    <w:qFormat/>
    <w:uiPriority w:val="0"/>
    <w:pPr>
      <w:tabs>
        <w:tab w:val="right" w:leader="dot" w:pos="9299"/>
      </w:tabs>
      <w:jc w:val="left"/>
    </w:pPr>
    <w:rPr>
      <w:rFonts w:ascii="宋体"/>
      <w:szCs w:val="21"/>
    </w:rPr>
  </w:style>
  <w:style w:type="paragraph" w:customStyle="1" w:styleId="37">
    <w:name w:val="段"/>
    <w:link w:val="74"/>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38">
    <w:name w:val="footnote text"/>
    <w:basedOn w:val="1"/>
    <w:link w:val="218"/>
    <w:autoRedefine/>
    <w:qFormat/>
    <w:uiPriority w:val="99"/>
    <w:pPr>
      <w:numPr>
        <w:ilvl w:val="0"/>
        <w:numId w:val="2"/>
      </w:numPr>
      <w:snapToGrid w:val="0"/>
      <w:jc w:val="left"/>
    </w:pPr>
    <w:rPr>
      <w:rFonts w:ascii="宋体"/>
      <w:sz w:val="18"/>
      <w:szCs w:val="18"/>
    </w:rPr>
  </w:style>
  <w:style w:type="paragraph" w:styleId="39">
    <w:name w:val="toc 6"/>
    <w:basedOn w:val="1"/>
    <w:next w:val="1"/>
    <w:semiHidden/>
    <w:qFormat/>
    <w:uiPriority w:val="0"/>
    <w:pPr>
      <w:tabs>
        <w:tab w:val="right" w:leader="dot" w:pos="9241"/>
      </w:tabs>
      <w:ind w:firstLine="403" w:firstLineChars="400"/>
      <w:jc w:val="left"/>
    </w:pPr>
    <w:rPr>
      <w:rFonts w:ascii="宋体"/>
      <w:szCs w:val="21"/>
    </w:rPr>
  </w:style>
  <w:style w:type="paragraph" w:styleId="40">
    <w:name w:val="Body Text Indent 3"/>
    <w:basedOn w:val="1"/>
    <w:link w:val="219"/>
    <w:qFormat/>
    <w:uiPriority w:val="0"/>
    <w:pPr>
      <w:widowControl/>
      <w:snapToGrid w:val="0"/>
      <w:spacing w:line="520" w:lineRule="exact"/>
      <w:ind w:left="420" w:leftChars="200" w:firstLine="420" w:firstLineChars="200"/>
    </w:pPr>
    <w:rPr>
      <w:rFonts w:ascii="宋体" w:hAnsi="宋体"/>
      <w:kern w:val="0"/>
      <w:szCs w:val="28"/>
    </w:rPr>
  </w:style>
  <w:style w:type="paragraph" w:styleId="41">
    <w:name w:val="index 7"/>
    <w:basedOn w:val="1"/>
    <w:next w:val="1"/>
    <w:autoRedefine/>
    <w:qFormat/>
    <w:uiPriority w:val="0"/>
    <w:pPr>
      <w:ind w:left="1470" w:hanging="210"/>
      <w:jc w:val="left"/>
    </w:pPr>
    <w:rPr>
      <w:rFonts w:ascii="Calibri" w:hAnsi="Calibri"/>
      <w:sz w:val="20"/>
      <w:szCs w:val="20"/>
    </w:rPr>
  </w:style>
  <w:style w:type="paragraph" w:styleId="42">
    <w:name w:val="index 9"/>
    <w:basedOn w:val="1"/>
    <w:next w:val="1"/>
    <w:autoRedefine/>
    <w:qFormat/>
    <w:uiPriority w:val="0"/>
    <w:pPr>
      <w:ind w:left="1890" w:hanging="210"/>
      <w:jc w:val="left"/>
    </w:pPr>
    <w:rPr>
      <w:rFonts w:ascii="Calibri" w:hAnsi="Calibri"/>
      <w:sz w:val="20"/>
      <w:szCs w:val="20"/>
    </w:rPr>
  </w:style>
  <w:style w:type="paragraph" w:styleId="43">
    <w:name w:val="toc 2"/>
    <w:basedOn w:val="1"/>
    <w:next w:val="1"/>
    <w:autoRedefine/>
    <w:qFormat/>
    <w:uiPriority w:val="39"/>
    <w:pPr>
      <w:tabs>
        <w:tab w:val="right" w:leader="dot" w:pos="9241"/>
      </w:tabs>
    </w:pPr>
    <w:rPr>
      <w:rFonts w:ascii="宋体"/>
      <w:szCs w:val="21"/>
    </w:rPr>
  </w:style>
  <w:style w:type="paragraph" w:styleId="44">
    <w:name w:val="toc 9"/>
    <w:basedOn w:val="1"/>
    <w:next w:val="1"/>
    <w:autoRedefine/>
    <w:semiHidden/>
    <w:qFormat/>
    <w:uiPriority w:val="0"/>
    <w:pPr>
      <w:ind w:left="1470"/>
      <w:jc w:val="left"/>
    </w:pPr>
    <w:rPr>
      <w:sz w:val="20"/>
      <w:szCs w:val="20"/>
    </w:rPr>
  </w:style>
  <w:style w:type="paragraph" w:styleId="45">
    <w:name w:val="HTML Preformatted"/>
    <w:basedOn w:val="1"/>
    <w:link w:val="220"/>
    <w:qFormat/>
    <w:uiPriority w:val="99"/>
    <w:pPr>
      <w:ind w:left="200" w:leftChars="200"/>
    </w:pPr>
    <w:rPr>
      <w:rFonts w:ascii="Courier New" w:hAnsi="Courier New"/>
      <w:sz w:val="20"/>
      <w:szCs w:val="20"/>
    </w:rPr>
  </w:style>
  <w:style w:type="paragraph" w:styleId="46">
    <w:name w:val="Normal (Web)"/>
    <w:basedOn w:val="1"/>
    <w:link w:val="221"/>
    <w:autoRedefine/>
    <w:unhideWhenUsed/>
    <w:qFormat/>
    <w:uiPriority w:val="0"/>
    <w:pPr>
      <w:widowControl/>
      <w:spacing w:before="100" w:beforeAutospacing="1" w:after="100" w:afterAutospacing="1"/>
      <w:jc w:val="left"/>
    </w:pPr>
    <w:rPr>
      <w:rFonts w:ascii="宋体" w:hAnsi="宋体" w:cs="宋体"/>
      <w:kern w:val="0"/>
      <w:sz w:val="24"/>
    </w:rPr>
  </w:style>
  <w:style w:type="paragraph" w:styleId="47">
    <w:name w:val="index 2"/>
    <w:basedOn w:val="1"/>
    <w:next w:val="1"/>
    <w:qFormat/>
    <w:uiPriority w:val="0"/>
    <w:pPr>
      <w:ind w:left="420" w:hanging="210"/>
      <w:jc w:val="left"/>
    </w:pPr>
    <w:rPr>
      <w:rFonts w:ascii="Calibri" w:hAnsi="Calibri"/>
      <w:sz w:val="20"/>
      <w:szCs w:val="20"/>
    </w:rPr>
  </w:style>
  <w:style w:type="paragraph" w:styleId="48">
    <w:name w:val="Title"/>
    <w:basedOn w:val="1"/>
    <w:link w:val="222"/>
    <w:qFormat/>
    <w:uiPriority w:val="10"/>
    <w:pPr>
      <w:spacing w:before="240" w:after="240"/>
      <w:jc w:val="center"/>
      <w:outlineLvl w:val="0"/>
    </w:pPr>
    <w:rPr>
      <w:rFonts w:ascii="Arial" w:hAnsi="Arial" w:eastAsia="黑体" w:cs="Arial"/>
      <w:b/>
      <w:bCs/>
      <w:sz w:val="32"/>
      <w:szCs w:val="32"/>
    </w:rPr>
  </w:style>
  <w:style w:type="paragraph" w:styleId="49">
    <w:name w:val="annotation subject"/>
    <w:basedOn w:val="16"/>
    <w:next w:val="16"/>
    <w:link w:val="75"/>
    <w:autoRedefine/>
    <w:qFormat/>
    <w:uiPriority w:val="99"/>
    <w:rPr>
      <w:b/>
      <w:bCs/>
    </w:rPr>
  </w:style>
  <w:style w:type="table" w:styleId="51">
    <w:name w:val="Table Grid"/>
    <w:basedOn w:val="50"/>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3">
    <w:name w:val="Strong"/>
    <w:autoRedefine/>
    <w:qFormat/>
    <w:uiPriority w:val="22"/>
    <w:rPr>
      <w:b/>
      <w:bCs/>
    </w:rPr>
  </w:style>
  <w:style w:type="character" w:styleId="54">
    <w:name w:val="endnote reference"/>
    <w:autoRedefine/>
    <w:semiHidden/>
    <w:qFormat/>
    <w:uiPriority w:val="0"/>
    <w:rPr>
      <w:vertAlign w:val="superscript"/>
    </w:rPr>
  </w:style>
  <w:style w:type="character" w:styleId="55">
    <w:name w:val="page number"/>
    <w:autoRedefine/>
    <w:qFormat/>
    <w:uiPriority w:val="0"/>
    <w:rPr>
      <w:rFonts w:ascii="Times New Roman" w:hAnsi="Times New Roman" w:eastAsia="宋体"/>
      <w:sz w:val="18"/>
    </w:rPr>
  </w:style>
  <w:style w:type="character" w:styleId="56">
    <w:name w:val="FollowedHyperlink"/>
    <w:qFormat/>
    <w:uiPriority w:val="99"/>
    <w:rPr>
      <w:color w:val="800080"/>
      <w:u w:val="single"/>
    </w:rPr>
  </w:style>
  <w:style w:type="character" w:styleId="57">
    <w:name w:val="Emphasis"/>
    <w:basedOn w:val="52"/>
    <w:autoRedefine/>
    <w:qFormat/>
    <w:uiPriority w:val="20"/>
    <w:rPr>
      <w:i/>
    </w:rPr>
  </w:style>
  <w:style w:type="character" w:styleId="58">
    <w:name w:val="HTML Definition"/>
    <w:qFormat/>
    <w:uiPriority w:val="0"/>
    <w:rPr>
      <w:i/>
      <w:iCs/>
    </w:rPr>
  </w:style>
  <w:style w:type="character" w:styleId="59">
    <w:name w:val="HTML Typewriter"/>
    <w:qFormat/>
    <w:uiPriority w:val="0"/>
    <w:rPr>
      <w:rFonts w:ascii="Courier New" w:hAnsi="Courier New"/>
      <w:sz w:val="20"/>
      <w:szCs w:val="20"/>
    </w:rPr>
  </w:style>
  <w:style w:type="character" w:styleId="60">
    <w:name w:val="HTML Acronym"/>
    <w:qFormat/>
    <w:uiPriority w:val="0"/>
  </w:style>
  <w:style w:type="character" w:styleId="61">
    <w:name w:val="HTML Variable"/>
    <w:qFormat/>
    <w:uiPriority w:val="0"/>
    <w:rPr>
      <w:i/>
      <w:iCs/>
    </w:rPr>
  </w:style>
  <w:style w:type="character" w:styleId="62">
    <w:name w:val="Hyperlink"/>
    <w:basedOn w:val="52"/>
    <w:qFormat/>
    <w:uiPriority w:val="99"/>
    <w:rPr>
      <w:color w:val="0000FF"/>
      <w:spacing w:val="0"/>
      <w:w w:val="100"/>
      <w:szCs w:val="21"/>
      <w:u w:val="single"/>
      <w:lang w:val="en-US" w:eastAsia="zh-CN"/>
    </w:rPr>
  </w:style>
  <w:style w:type="character" w:styleId="63">
    <w:name w:val="HTML Code"/>
    <w:qFormat/>
    <w:uiPriority w:val="0"/>
    <w:rPr>
      <w:rFonts w:ascii="Courier New" w:hAnsi="Courier New"/>
      <w:sz w:val="20"/>
      <w:szCs w:val="20"/>
    </w:rPr>
  </w:style>
  <w:style w:type="character" w:styleId="64">
    <w:name w:val="annotation reference"/>
    <w:qFormat/>
    <w:uiPriority w:val="99"/>
    <w:rPr>
      <w:sz w:val="21"/>
      <w:szCs w:val="21"/>
    </w:rPr>
  </w:style>
  <w:style w:type="character" w:styleId="65">
    <w:name w:val="HTML Cite"/>
    <w:qFormat/>
    <w:uiPriority w:val="0"/>
    <w:rPr>
      <w:i/>
      <w:iCs/>
    </w:rPr>
  </w:style>
  <w:style w:type="character" w:styleId="66">
    <w:name w:val="footnote reference"/>
    <w:qFormat/>
    <w:uiPriority w:val="99"/>
    <w:rPr>
      <w:vertAlign w:val="superscript"/>
    </w:rPr>
  </w:style>
  <w:style w:type="character" w:styleId="67">
    <w:name w:val="HTML Keyboard"/>
    <w:qFormat/>
    <w:uiPriority w:val="0"/>
    <w:rPr>
      <w:rFonts w:ascii="Courier New" w:hAnsi="Courier New"/>
      <w:sz w:val="20"/>
      <w:szCs w:val="20"/>
    </w:rPr>
  </w:style>
  <w:style w:type="character" w:styleId="68">
    <w:name w:val="HTML Sample"/>
    <w:uiPriority w:val="0"/>
    <w:rPr>
      <w:rFonts w:ascii="Courier New" w:hAnsi="Courier New"/>
    </w:rPr>
  </w:style>
  <w:style w:type="character" w:customStyle="1" w:styleId="69">
    <w:name w:val="标题 1 字符"/>
    <w:link w:val="2"/>
    <w:autoRedefine/>
    <w:qFormat/>
    <w:uiPriority w:val="0"/>
    <w:rPr>
      <w:rFonts w:ascii="宋体" w:hAnsi="宋体" w:cs="宋体"/>
      <w:b/>
      <w:bCs/>
      <w:kern w:val="36"/>
      <w:sz w:val="48"/>
      <w:szCs w:val="48"/>
    </w:rPr>
  </w:style>
  <w:style w:type="character" w:customStyle="1" w:styleId="70">
    <w:name w:val="标题 2 字符"/>
    <w:link w:val="3"/>
    <w:qFormat/>
    <w:uiPriority w:val="0"/>
    <w:rPr>
      <w:rFonts w:ascii="Calibri Light" w:hAnsi="Calibri Light" w:eastAsia="宋体" w:cs="Times New Roman"/>
      <w:b/>
      <w:bCs/>
      <w:kern w:val="2"/>
      <w:sz w:val="32"/>
      <w:szCs w:val="32"/>
    </w:rPr>
  </w:style>
  <w:style w:type="character" w:customStyle="1" w:styleId="71">
    <w:name w:val="标题 3 字符"/>
    <w:link w:val="4"/>
    <w:autoRedefine/>
    <w:qFormat/>
    <w:uiPriority w:val="0"/>
    <w:rPr>
      <w:rFonts w:eastAsia="黑体"/>
      <w:b/>
      <w:bCs/>
      <w:kern w:val="2"/>
      <w:sz w:val="21"/>
      <w:szCs w:val="21"/>
    </w:rPr>
  </w:style>
  <w:style w:type="character" w:customStyle="1" w:styleId="72">
    <w:name w:val="批注文字 字符"/>
    <w:link w:val="16"/>
    <w:autoRedefine/>
    <w:qFormat/>
    <w:uiPriority w:val="99"/>
    <w:rPr>
      <w:kern w:val="2"/>
      <w:sz w:val="21"/>
      <w:szCs w:val="24"/>
    </w:rPr>
  </w:style>
  <w:style w:type="character" w:customStyle="1" w:styleId="73">
    <w:name w:val="批注框文本 字符"/>
    <w:link w:val="30"/>
    <w:autoRedefine/>
    <w:qFormat/>
    <w:uiPriority w:val="0"/>
    <w:rPr>
      <w:kern w:val="2"/>
      <w:sz w:val="18"/>
      <w:szCs w:val="18"/>
    </w:rPr>
  </w:style>
  <w:style w:type="character" w:customStyle="1" w:styleId="74">
    <w:name w:val="段 Char"/>
    <w:link w:val="37"/>
    <w:autoRedefine/>
    <w:qFormat/>
    <w:uiPriority w:val="0"/>
    <w:rPr>
      <w:rFonts w:ascii="宋体"/>
      <w:sz w:val="21"/>
      <w:lang w:val="en-US" w:eastAsia="zh-CN" w:bidi="ar-SA"/>
    </w:rPr>
  </w:style>
  <w:style w:type="character" w:customStyle="1" w:styleId="75">
    <w:name w:val="批注主题 字符"/>
    <w:link w:val="49"/>
    <w:autoRedefine/>
    <w:qFormat/>
    <w:uiPriority w:val="99"/>
    <w:rPr>
      <w:b/>
      <w:bCs/>
      <w:kern w:val="2"/>
      <w:sz w:val="21"/>
      <w:szCs w:val="24"/>
    </w:rPr>
  </w:style>
  <w:style w:type="character" w:customStyle="1" w:styleId="76">
    <w:name w:val="附录公式 Char"/>
    <w:link w:val="77"/>
    <w:autoRedefine/>
    <w:qFormat/>
    <w:uiPriority w:val="0"/>
    <w:rPr>
      <w:lang w:val="en-US" w:eastAsia="zh-CN" w:bidi="ar-SA"/>
    </w:rPr>
  </w:style>
  <w:style w:type="paragraph" w:customStyle="1" w:styleId="77">
    <w:name w:val="附录公式"/>
    <w:basedOn w:val="37"/>
    <w:next w:val="37"/>
    <w:link w:val="76"/>
    <w:qFormat/>
    <w:uiPriority w:val="0"/>
    <w:rPr>
      <w:rFonts w:ascii="Times New Roman"/>
      <w:sz w:val="20"/>
    </w:rPr>
  </w:style>
  <w:style w:type="character" w:customStyle="1" w:styleId="78">
    <w:name w:val="发布"/>
    <w:autoRedefine/>
    <w:qFormat/>
    <w:uiPriority w:val="0"/>
    <w:rPr>
      <w:rFonts w:ascii="黑体" w:eastAsia="黑体"/>
      <w:spacing w:val="85"/>
      <w:w w:val="100"/>
      <w:position w:val="3"/>
      <w:sz w:val="28"/>
      <w:szCs w:val="28"/>
    </w:rPr>
  </w:style>
  <w:style w:type="character" w:customStyle="1" w:styleId="79">
    <w:name w:val="首示例 Char"/>
    <w:link w:val="80"/>
    <w:qFormat/>
    <w:uiPriority w:val="0"/>
    <w:rPr>
      <w:rFonts w:ascii="宋体" w:hAnsi="宋体"/>
      <w:kern w:val="2"/>
      <w:sz w:val="18"/>
      <w:szCs w:val="18"/>
      <w:lang w:val="en-US" w:eastAsia="zh-CN" w:bidi="ar-SA"/>
    </w:rPr>
  </w:style>
  <w:style w:type="paragraph" w:customStyle="1" w:styleId="80">
    <w:name w:val="首示例"/>
    <w:next w:val="37"/>
    <w:link w:val="79"/>
    <w:qFormat/>
    <w:uiPriority w:val="0"/>
    <w:pPr>
      <w:numPr>
        <w:ilvl w:val="0"/>
        <w:numId w:val="3"/>
      </w:numPr>
      <w:tabs>
        <w:tab w:val="left" w:pos="360"/>
      </w:tabs>
      <w:ind w:firstLine="0"/>
    </w:pPr>
    <w:rPr>
      <w:rFonts w:ascii="宋体" w:hAnsi="宋体" w:eastAsia="宋体" w:cs="Times New Roman"/>
      <w:kern w:val="2"/>
      <w:sz w:val="18"/>
      <w:szCs w:val="18"/>
      <w:lang w:val="en-US" w:eastAsia="zh-CN" w:bidi="ar-SA"/>
    </w:rPr>
  </w:style>
  <w:style w:type="paragraph" w:customStyle="1" w:styleId="81">
    <w:name w:val="注×："/>
    <w:autoRedefine/>
    <w:qFormat/>
    <w:uiPriority w:val="0"/>
    <w:pPr>
      <w:widowControl w:val="0"/>
      <w:numPr>
        <w:ilvl w:val="0"/>
        <w:numId w:val="4"/>
      </w:numPr>
      <w:autoSpaceDE w:val="0"/>
      <w:autoSpaceDN w:val="0"/>
      <w:jc w:val="both"/>
    </w:pPr>
    <w:rPr>
      <w:rFonts w:ascii="宋体" w:hAnsi="Times New Roman" w:eastAsia="宋体" w:cs="Times New Roman"/>
      <w:sz w:val="18"/>
      <w:szCs w:val="18"/>
      <w:lang w:val="en-US" w:eastAsia="zh-CN" w:bidi="ar-SA"/>
    </w:rPr>
  </w:style>
  <w:style w:type="paragraph" w:customStyle="1" w:styleId="82">
    <w:name w:val="列项——（一级）"/>
    <w:autoRedefine/>
    <w:qFormat/>
    <w:uiPriority w:val="0"/>
    <w:pPr>
      <w:widowControl w:val="0"/>
      <w:numPr>
        <w:ilvl w:val="0"/>
        <w:numId w:val="5"/>
      </w:numPr>
      <w:jc w:val="both"/>
    </w:pPr>
    <w:rPr>
      <w:rFonts w:ascii="宋体" w:hAnsi="Times New Roman" w:eastAsia="宋体" w:cs="Times New Roman"/>
      <w:sz w:val="21"/>
      <w:lang w:val="en-US" w:eastAsia="zh-CN" w:bidi="ar-SA"/>
    </w:rPr>
  </w:style>
  <w:style w:type="paragraph" w:customStyle="1" w:styleId="83">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84">
    <w:name w:val="三级无"/>
    <w:basedOn w:val="85"/>
    <w:autoRedefine/>
    <w:qFormat/>
    <w:uiPriority w:val="0"/>
    <w:pPr>
      <w:spacing w:beforeLines="0" w:afterLines="0"/>
    </w:pPr>
    <w:rPr>
      <w:rFonts w:ascii="宋体" w:eastAsia="宋体"/>
    </w:rPr>
  </w:style>
  <w:style w:type="paragraph" w:customStyle="1" w:styleId="85">
    <w:name w:val="三级条标题"/>
    <w:basedOn w:val="86"/>
    <w:next w:val="37"/>
    <w:link w:val="88"/>
    <w:autoRedefine/>
    <w:qFormat/>
    <w:uiPriority w:val="0"/>
    <w:pPr>
      <w:numPr>
        <w:ilvl w:val="0"/>
        <w:numId w:val="0"/>
      </w:numPr>
      <w:outlineLvl w:val="4"/>
    </w:pPr>
  </w:style>
  <w:style w:type="paragraph" w:customStyle="1" w:styleId="86">
    <w:name w:val="二级条标题"/>
    <w:basedOn w:val="87"/>
    <w:next w:val="37"/>
    <w:autoRedefine/>
    <w:qFormat/>
    <w:uiPriority w:val="0"/>
    <w:pPr>
      <w:numPr>
        <w:ilvl w:val="2"/>
      </w:numPr>
      <w:spacing w:before="50" w:after="50"/>
      <w:outlineLvl w:val="3"/>
    </w:pPr>
  </w:style>
  <w:style w:type="paragraph" w:customStyle="1" w:styleId="87">
    <w:name w:val="一级条标题"/>
    <w:next w:val="37"/>
    <w:qFormat/>
    <w:uiPriority w:val="0"/>
    <w:pPr>
      <w:numPr>
        <w:ilvl w:val="1"/>
        <w:numId w:val="6"/>
      </w:numPr>
      <w:spacing w:beforeLines="50" w:afterLines="50"/>
      <w:outlineLvl w:val="2"/>
    </w:pPr>
    <w:rPr>
      <w:rFonts w:ascii="黑体" w:hAnsi="Times New Roman" w:eastAsia="黑体" w:cs="Times New Roman"/>
      <w:sz w:val="21"/>
      <w:szCs w:val="21"/>
      <w:lang w:val="en-US" w:eastAsia="zh-CN" w:bidi="ar-SA"/>
    </w:rPr>
  </w:style>
  <w:style w:type="character" w:customStyle="1" w:styleId="88">
    <w:name w:val="三级条标题 Char"/>
    <w:link w:val="85"/>
    <w:qFormat/>
    <w:uiPriority w:val="99"/>
    <w:rPr>
      <w:rFonts w:ascii="黑体" w:eastAsia="黑体"/>
      <w:sz w:val="21"/>
      <w:szCs w:val="21"/>
    </w:rPr>
  </w:style>
  <w:style w:type="paragraph" w:customStyle="1" w:styleId="89">
    <w:name w:val="示例后文字"/>
    <w:basedOn w:val="37"/>
    <w:next w:val="37"/>
    <w:qFormat/>
    <w:uiPriority w:val="0"/>
    <w:pPr>
      <w:ind w:firstLine="360"/>
    </w:pPr>
    <w:rPr>
      <w:sz w:val="18"/>
    </w:rPr>
  </w:style>
  <w:style w:type="paragraph" w:customStyle="1" w:styleId="90">
    <w:name w:val="标准书眉一"/>
    <w:qFormat/>
    <w:uiPriority w:val="0"/>
    <w:pPr>
      <w:jc w:val="both"/>
    </w:pPr>
    <w:rPr>
      <w:rFonts w:ascii="Times New Roman" w:hAnsi="Times New Roman" w:eastAsia="宋体" w:cs="Times New Roman"/>
      <w:lang w:val="en-US" w:eastAsia="zh-CN" w:bidi="ar-SA"/>
    </w:rPr>
  </w:style>
  <w:style w:type="paragraph" w:customStyle="1" w:styleId="91">
    <w:name w:val="发布部门"/>
    <w:next w:val="37"/>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92">
    <w:name w:val="图的脚注"/>
    <w:next w:val="37"/>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93">
    <w:name w:val="编号列项（三级）"/>
    <w:qFormat/>
    <w:uiPriority w:val="0"/>
    <w:pPr>
      <w:numPr>
        <w:ilvl w:val="2"/>
        <w:numId w:val="7"/>
      </w:numPr>
    </w:pPr>
    <w:rPr>
      <w:rFonts w:ascii="宋体" w:hAnsi="Times New Roman" w:eastAsia="宋体" w:cs="Times New Roman"/>
      <w:sz w:val="21"/>
      <w:lang w:val="en-US" w:eastAsia="zh-CN" w:bidi="ar-SA"/>
    </w:rPr>
  </w:style>
  <w:style w:type="paragraph" w:customStyle="1" w:styleId="94">
    <w:name w:val="附录图标题"/>
    <w:basedOn w:val="1"/>
    <w:next w:val="37"/>
    <w:qFormat/>
    <w:uiPriority w:val="0"/>
    <w:pPr>
      <w:numPr>
        <w:ilvl w:val="1"/>
        <w:numId w:val="8"/>
      </w:numPr>
      <w:tabs>
        <w:tab w:val="left" w:pos="363"/>
      </w:tabs>
      <w:spacing w:beforeLines="50" w:afterLines="50"/>
      <w:ind w:left="0" w:firstLine="0"/>
      <w:jc w:val="center"/>
    </w:pPr>
    <w:rPr>
      <w:rFonts w:ascii="黑体" w:eastAsia="黑体"/>
      <w:szCs w:val="21"/>
    </w:rPr>
  </w:style>
  <w:style w:type="paragraph" w:customStyle="1" w:styleId="95">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96">
    <w:name w:val="标准书眉_奇数页"/>
    <w:next w:val="1"/>
    <w:qFormat/>
    <w:uiPriority w:val="99"/>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97">
    <w:name w:val="条文脚注"/>
    <w:basedOn w:val="38"/>
    <w:qFormat/>
    <w:uiPriority w:val="0"/>
    <w:pPr>
      <w:numPr>
        <w:numId w:val="0"/>
      </w:numPr>
      <w:jc w:val="both"/>
    </w:pPr>
  </w:style>
  <w:style w:type="paragraph" w:customStyle="1" w:styleId="98">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9">
    <w:name w:val="字母编号列项（一级）"/>
    <w:qFormat/>
    <w:uiPriority w:val="0"/>
    <w:pPr>
      <w:numPr>
        <w:ilvl w:val="0"/>
        <w:numId w:val="7"/>
      </w:numPr>
      <w:jc w:val="both"/>
    </w:pPr>
    <w:rPr>
      <w:rFonts w:ascii="宋体" w:hAnsi="Times New Roman" w:eastAsia="宋体" w:cs="Times New Roman"/>
      <w:sz w:val="21"/>
      <w:lang w:val="en-US" w:eastAsia="zh-CN" w:bidi="ar-SA"/>
    </w:rPr>
  </w:style>
  <w:style w:type="paragraph" w:customStyle="1" w:styleId="100">
    <w:name w:val="附录三级条标题"/>
    <w:basedOn w:val="101"/>
    <w:next w:val="37"/>
    <w:autoRedefine/>
    <w:qFormat/>
    <w:uiPriority w:val="0"/>
    <w:pPr>
      <w:numPr>
        <w:ilvl w:val="4"/>
      </w:numPr>
      <w:tabs>
        <w:tab w:val="left" w:pos="360"/>
      </w:tabs>
      <w:outlineLvl w:val="4"/>
    </w:pPr>
  </w:style>
  <w:style w:type="paragraph" w:customStyle="1" w:styleId="101">
    <w:name w:val="附录二级条标题"/>
    <w:basedOn w:val="1"/>
    <w:next w:val="37"/>
    <w:autoRedefine/>
    <w:qFormat/>
    <w:uiPriority w:val="0"/>
    <w:pPr>
      <w:widowControl/>
      <w:numPr>
        <w:ilvl w:val="3"/>
        <w:numId w:val="9"/>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02">
    <w:name w:val="一级无"/>
    <w:basedOn w:val="87"/>
    <w:qFormat/>
    <w:uiPriority w:val="0"/>
    <w:pPr>
      <w:spacing w:beforeLines="0" w:afterLines="0"/>
    </w:pPr>
    <w:rPr>
      <w:rFonts w:ascii="宋体" w:eastAsia="宋体"/>
    </w:rPr>
  </w:style>
  <w:style w:type="paragraph" w:customStyle="1" w:styleId="103">
    <w:name w:val="参考文献"/>
    <w:basedOn w:val="1"/>
    <w:next w:val="37"/>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04">
    <w:name w:val="数字编号列项（二级）"/>
    <w:autoRedefine/>
    <w:qFormat/>
    <w:uiPriority w:val="0"/>
    <w:pPr>
      <w:numPr>
        <w:ilvl w:val="1"/>
        <w:numId w:val="7"/>
      </w:numPr>
      <w:jc w:val="both"/>
    </w:pPr>
    <w:rPr>
      <w:rFonts w:ascii="宋体" w:hAnsi="Times New Roman" w:eastAsia="宋体" w:cs="Times New Roman"/>
      <w:sz w:val="21"/>
      <w:lang w:val="en-US" w:eastAsia="zh-CN" w:bidi="ar-SA"/>
    </w:rPr>
  </w:style>
  <w:style w:type="paragraph" w:customStyle="1" w:styleId="105">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106">
    <w:name w:val="示例"/>
    <w:next w:val="105"/>
    <w:qFormat/>
    <w:uiPriority w:val="0"/>
    <w:pPr>
      <w:widowControl w:val="0"/>
      <w:numPr>
        <w:ilvl w:val="0"/>
        <w:numId w:val="10"/>
      </w:numPr>
      <w:jc w:val="both"/>
    </w:pPr>
    <w:rPr>
      <w:rFonts w:ascii="宋体" w:hAnsi="Times New Roman" w:eastAsia="宋体" w:cs="Times New Roman"/>
      <w:sz w:val="18"/>
      <w:szCs w:val="18"/>
      <w:lang w:val="en-US" w:eastAsia="zh-CN" w:bidi="ar-SA"/>
    </w:rPr>
  </w:style>
  <w:style w:type="paragraph" w:customStyle="1" w:styleId="107">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8">
    <w:name w:val="附录标题"/>
    <w:basedOn w:val="37"/>
    <w:next w:val="37"/>
    <w:qFormat/>
    <w:uiPriority w:val="0"/>
    <w:pPr>
      <w:ind w:firstLine="0" w:firstLineChars="0"/>
      <w:jc w:val="center"/>
    </w:pPr>
    <w:rPr>
      <w:rFonts w:ascii="黑体" w:eastAsia="黑体"/>
    </w:rPr>
  </w:style>
  <w:style w:type="paragraph" w:customStyle="1" w:styleId="109">
    <w:name w:val="附录四级条标题"/>
    <w:basedOn w:val="100"/>
    <w:next w:val="37"/>
    <w:autoRedefine/>
    <w:qFormat/>
    <w:uiPriority w:val="0"/>
    <w:pPr>
      <w:numPr>
        <w:ilvl w:val="5"/>
      </w:numPr>
      <w:outlineLvl w:val="5"/>
    </w:pPr>
  </w:style>
  <w:style w:type="paragraph" w:customStyle="1" w:styleId="11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1">
    <w:name w:val="封面标准英文名称"/>
    <w:basedOn w:val="98"/>
    <w:qFormat/>
    <w:uiPriority w:val="0"/>
    <w:pPr>
      <w:framePr w:wrap="around"/>
      <w:spacing w:before="370" w:line="400" w:lineRule="exact"/>
    </w:pPr>
    <w:rPr>
      <w:rFonts w:ascii="Times New Roman"/>
      <w:sz w:val="28"/>
      <w:szCs w:val="28"/>
    </w:rPr>
  </w:style>
  <w:style w:type="paragraph" w:customStyle="1" w:styleId="112">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3">
    <w:name w:val="封面标准英文名称2"/>
    <w:basedOn w:val="111"/>
    <w:autoRedefine/>
    <w:qFormat/>
    <w:uiPriority w:val="0"/>
    <w:pPr>
      <w:framePr w:wrap="around" w:y="4469"/>
    </w:pPr>
  </w:style>
  <w:style w:type="paragraph" w:customStyle="1" w:styleId="114">
    <w:name w:val="附录四级无"/>
    <w:basedOn w:val="109"/>
    <w:qFormat/>
    <w:uiPriority w:val="0"/>
    <w:pPr>
      <w:tabs>
        <w:tab w:val="clear" w:pos="360"/>
      </w:tabs>
      <w:spacing w:beforeLines="0" w:afterLines="0"/>
    </w:pPr>
    <w:rPr>
      <w:rFonts w:ascii="宋体" w:eastAsia="宋体"/>
      <w:szCs w:val="21"/>
    </w:rPr>
  </w:style>
  <w:style w:type="paragraph" w:customStyle="1" w:styleId="115">
    <w:name w:val="目次、标准名称标题"/>
    <w:basedOn w:val="1"/>
    <w:next w:val="37"/>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16">
    <w:name w:val="附录表标题"/>
    <w:basedOn w:val="1"/>
    <w:next w:val="37"/>
    <w:autoRedefine/>
    <w:qFormat/>
    <w:uiPriority w:val="0"/>
    <w:pPr>
      <w:numPr>
        <w:ilvl w:val="1"/>
        <w:numId w:val="11"/>
      </w:numPr>
      <w:tabs>
        <w:tab w:val="left" w:pos="180"/>
      </w:tabs>
      <w:spacing w:beforeLines="50" w:afterLines="50"/>
      <w:ind w:left="0" w:firstLine="0"/>
      <w:jc w:val="center"/>
    </w:pPr>
    <w:rPr>
      <w:rFonts w:ascii="黑体" w:eastAsia="黑体"/>
      <w:szCs w:val="21"/>
    </w:rPr>
  </w:style>
  <w:style w:type="paragraph" w:customStyle="1" w:styleId="117">
    <w:name w:val="封面标准号1"/>
    <w:autoRedefine/>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18">
    <w:name w:val="封面标准文稿编辑信息2"/>
    <w:basedOn w:val="119"/>
    <w:autoRedefine/>
    <w:qFormat/>
    <w:uiPriority w:val="0"/>
    <w:pPr>
      <w:framePr w:wrap="around" w:y="4469"/>
    </w:pPr>
  </w:style>
  <w:style w:type="paragraph" w:customStyle="1" w:styleId="119">
    <w:name w:val="封面标准文稿编辑信息"/>
    <w:basedOn w:val="120"/>
    <w:autoRedefine/>
    <w:qFormat/>
    <w:uiPriority w:val="0"/>
    <w:pPr>
      <w:framePr w:wrap="around"/>
      <w:spacing w:before="180" w:line="180" w:lineRule="exact"/>
    </w:pPr>
    <w:rPr>
      <w:sz w:val="21"/>
    </w:rPr>
  </w:style>
  <w:style w:type="paragraph" w:customStyle="1" w:styleId="120">
    <w:name w:val="封面标准文稿类别"/>
    <w:basedOn w:val="121"/>
    <w:autoRedefine/>
    <w:qFormat/>
    <w:uiPriority w:val="0"/>
    <w:pPr>
      <w:framePr w:wrap="around"/>
      <w:spacing w:after="160" w:line="240" w:lineRule="auto"/>
    </w:pPr>
    <w:rPr>
      <w:sz w:val="24"/>
    </w:rPr>
  </w:style>
  <w:style w:type="paragraph" w:customStyle="1" w:styleId="121">
    <w:name w:val="封面一致性程度标识"/>
    <w:basedOn w:val="111"/>
    <w:qFormat/>
    <w:uiPriority w:val="0"/>
    <w:pPr>
      <w:framePr w:wrap="around"/>
      <w:spacing w:before="440"/>
    </w:pPr>
    <w:rPr>
      <w:rFonts w:ascii="宋体" w:eastAsia="宋体"/>
    </w:rPr>
  </w:style>
  <w:style w:type="paragraph" w:customStyle="1" w:styleId="122">
    <w:name w:val="五级条标题"/>
    <w:basedOn w:val="123"/>
    <w:next w:val="37"/>
    <w:autoRedefine/>
    <w:qFormat/>
    <w:uiPriority w:val="0"/>
    <w:pPr>
      <w:numPr>
        <w:ilvl w:val="5"/>
      </w:numPr>
      <w:outlineLvl w:val="6"/>
    </w:pPr>
  </w:style>
  <w:style w:type="paragraph" w:customStyle="1" w:styleId="123">
    <w:name w:val="四级条标题"/>
    <w:basedOn w:val="85"/>
    <w:next w:val="37"/>
    <w:qFormat/>
    <w:uiPriority w:val="0"/>
    <w:pPr>
      <w:numPr>
        <w:ilvl w:val="4"/>
      </w:numPr>
      <w:outlineLvl w:val="5"/>
    </w:pPr>
  </w:style>
  <w:style w:type="paragraph" w:customStyle="1" w:styleId="124">
    <w:name w:val="正文表标题"/>
    <w:next w:val="37"/>
    <w:qFormat/>
    <w:uiPriority w:val="0"/>
    <w:pPr>
      <w:numPr>
        <w:ilvl w:val="0"/>
        <w:numId w:val="12"/>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5">
    <w:name w:val="附录一级无"/>
    <w:basedOn w:val="126"/>
    <w:qFormat/>
    <w:uiPriority w:val="0"/>
    <w:pPr>
      <w:tabs>
        <w:tab w:val="left" w:pos="360"/>
      </w:tabs>
      <w:spacing w:beforeLines="0" w:afterLines="0"/>
    </w:pPr>
    <w:rPr>
      <w:rFonts w:ascii="宋体" w:eastAsia="宋体"/>
      <w:szCs w:val="21"/>
    </w:rPr>
  </w:style>
  <w:style w:type="paragraph" w:customStyle="1" w:styleId="126">
    <w:name w:val="附录一级条标题"/>
    <w:basedOn w:val="127"/>
    <w:next w:val="37"/>
    <w:qFormat/>
    <w:uiPriority w:val="0"/>
    <w:pPr>
      <w:numPr>
        <w:ilvl w:val="0"/>
        <w:numId w:val="0"/>
      </w:numPr>
      <w:tabs>
        <w:tab w:val="left" w:pos="360"/>
      </w:tabs>
      <w:autoSpaceDN w:val="0"/>
      <w:spacing w:beforeLines="50" w:afterLines="50"/>
      <w:outlineLvl w:val="2"/>
    </w:pPr>
  </w:style>
  <w:style w:type="paragraph" w:customStyle="1" w:styleId="127">
    <w:name w:val="附录章标题"/>
    <w:next w:val="37"/>
    <w:autoRedefine/>
    <w:qFormat/>
    <w:uiPriority w:val="0"/>
    <w:pPr>
      <w:numPr>
        <w:ilvl w:val="1"/>
        <w:numId w:val="9"/>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28">
    <w:name w:val="图表脚注说明"/>
    <w:basedOn w:val="1"/>
    <w:autoRedefine/>
    <w:qFormat/>
    <w:uiPriority w:val="0"/>
    <w:pPr>
      <w:numPr>
        <w:ilvl w:val="0"/>
        <w:numId w:val="13"/>
      </w:numPr>
    </w:pPr>
    <w:rPr>
      <w:rFonts w:ascii="宋体"/>
      <w:sz w:val="18"/>
      <w:szCs w:val="18"/>
    </w:rPr>
  </w:style>
  <w:style w:type="paragraph" w:customStyle="1" w:styleId="129">
    <w:name w:val="附录标识"/>
    <w:basedOn w:val="1"/>
    <w:next w:val="37"/>
    <w:autoRedefine/>
    <w:qFormat/>
    <w:uiPriority w:val="0"/>
    <w:pPr>
      <w:keepNext/>
      <w:widowControl/>
      <w:numPr>
        <w:ilvl w:val="0"/>
        <w:numId w:val="9"/>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30">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131">
    <w:name w:val="二级无"/>
    <w:basedOn w:val="86"/>
    <w:autoRedefine/>
    <w:qFormat/>
    <w:uiPriority w:val="0"/>
    <w:pPr>
      <w:spacing w:beforeLines="0" w:afterLines="0"/>
    </w:pPr>
    <w:rPr>
      <w:rFonts w:ascii="宋体" w:eastAsia="宋体"/>
    </w:rPr>
  </w:style>
  <w:style w:type="paragraph" w:customStyle="1" w:styleId="132">
    <w:name w:val="前言、引言标题"/>
    <w:next w:val="37"/>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33">
    <w:name w:val="附录三级无"/>
    <w:basedOn w:val="100"/>
    <w:autoRedefine/>
    <w:qFormat/>
    <w:uiPriority w:val="0"/>
    <w:pPr>
      <w:tabs>
        <w:tab w:val="clear" w:pos="360"/>
      </w:tabs>
      <w:spacing w:beforeLines="0" w:afterLines="0"/>
    </w:pPr>
    <w:rPr>
      <w:rFonts w:ascii="宋体" w:eastAsia="宋体"/>
      <w:szCs w:val="21"/>
    </w:rPr>
  </w:style>
  <w:style w:type="paragraph" w:customStyle="1" w:styleId="134">
    <w:name w:val="附录字母编号列项（一级）"/>
    <w:autoRedefine/>
    <w:qFormat/>
    <w:uiPriority w:val="0"/>
    <w:pPr>
      <w:numPr>
        <w:ilvl w:val="0"/>
        <w:numId w:val="14"/>
      </w:numPr>
    </w:pPr>
    <w:rPr>
      <w:rFonts w:ascii="宋体" w:hAnsi="Times New Roman" w:eastAsia="宋体" w:cs="Times New Roman"/>
      <w:sz w:val="21"/>
      <w:lang w:val="en-US" w:eastAsia="zh-CN" w:bidi="ar-SA"/>
    </w:rPr>
  </w:style>
  <w:style w:type="paragraph" w:customStyle="1" w:styleId="135">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36">
    <w:name w:val="其他发布部门"/>
    <w:basedOn w:val="91"/>
    <w:autoRedefine/>
    <w:qFormat/>
    <w:uiPriority w:val="0"/>
    <w:pPr>
      <w:framePr w:wrap="around" w:y="15310"/>
      <w:spacing w:line="0" w:lineRule="atLeast"/>
    </w:pPr>
    <w:rPr>
      <w:rFonts w:ascii="黑体" w:eastAsia="黑体"/>
      <w:b w:val="0"/>
    </w:rPr>
  </w:style>
  <w:style w:type="paragraph" w:customStyle="1" w:styleId="137">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38">
    <w:name w:val="正文公式编号制表符"/>
    <w:basedOn w:val="37"/>
    <w:next w:val="37"/>
    <w:autoRedefine/>
    <w:qFormat/>
    <w:uiPriority w:val="0"/>
    <w:pPr>
      <w:ind w:firstLine="0" w:firstLineChars="0"/>
    </w:pPr>
  </w:style>
  <w:style w:type="paragraph" w:customStyle="1" w:styleId="139">
    <w:name w:val="附录五级无"/>
    <w:basedOn w:val="140"/>
    <w:qFormat/>
    <w:uiPriority w:val="0"/>
    <w:pPr>
      <w:tabs>
        <w:tab w:val="left" w:pos="360"/>
      </w:tabs>
      <w:spacing w:beforeLines="0" w:afterLines="0"/>
    </w:pPr>
    <w:rPr>
      <w:rFonts w:ascii="宋体" w:eastAsia="宋体"/>
      <w:szCs w:val="21"/>
    </w:rPr>
  </w:style>
  <w:style w:type="paragraph" w:customStyle="1" w:styleId="140">
    <w:name w:val="附录五级条标题"/>
    <w:basedOn w:val="109"/>
    <w:next w:val="37"/>
    <w:autoRedefine/>
    <w:qFormat/>
    <w:uiPriority w:val="0"/>
    <w:pPr>
      <w:numPr>
        <w:ilvl w:val="0"/>
        <w:numId w:val="0"/>
      </w:numPr>
      <w:outlineLvl w:val="6"/>
    </w:pPr>
  </w:style>
  <w:style w:type="paragraph" w:customStyle="1" w:styleId="141">
    <w:name w:val="图标脚注说明"/>
    <w:basedOn w:val="37"/>
    <w:autoRedefine/>
    <w:qFormat/>
    <w:uiPriority w:val="0"/>
    <w:pPr>
      <w:ind w:left="840" w:hanging="420" w:firstLineChars="0"/>
    </w:pPr>
    <w:rPr>
      <w:sz w:val="18"/>
      <w:szCs w:val="18"/>
    </w:rPr>
  </w:style>
  <w:style w:type="paragraph" w:customStyle="1" w:styleId="142">
    <w:name w:val="参考文献、索引标题"/>
    <w:basedOn w:val="1"/>
    <w:next w:val="37"/>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43">
    <w:name w:val="其他发布日期"/>
    <w:basedOn w:val="144"/>
    <w:autoRedefine/>
    <w:qFormat/>
    <w:uiPriority w:val="0"/>
    <w:pPr>
      <w:framePr w:wrap="around" w:vAnchor="page" w:hAnchor="text" w:x="1419"/>
    </w:pPr>
  </w:style>
  <w:style w:type="paragraph" w:customStyle="1" w:styleId="144">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145">
    <w:name w:val="附录数字编号列项（二级）"/>
    <w:autoRedefine/>
    <w:qFormat/>
    <w:uiPriority w:val="0"/>
    <w:pPr>
      <w:numPr>
        <w:ilvl w:val="1"/>
        <w:numId w:val="14"/>
      </w:numPr>
    </w:pPr>
    <w:rPr>
      <w:rFonts w:ascii="宋体" w:hAnsi="Times New Roman" w:eastAsia="宋体" w:cs="Times New Roman"/>
      <w:sz w:val="21"/>
      <w:lang w:val="en-US" w:eastAsia="zh-CN" w:bidi="ar-SA"/>
    </w:rPr>
  </w:style>
  <w:style w:type="paragraph" w:customStyle="1" w:styleId="146">
    <w:name w:val="附录二级无"/>
    <w:basedOn w:val="101"/>
    <w:autoRedefine/>
    <w:qFormat/>
    <w:uiPriority w:val="0"/>
    <w:pPr>
      <w:tabs>
        <w:tab w:val="clear" w:pos="360"/>
      </w:tabs>
      <w:spacing w:beforeLines="0" w:afterLines="0"/>
    </w:pPr>
    <w:rPr>
      <w:rFonts w:ascii="宋体" w:eastAsia="宋体"/>
      <w:szCs w:val="21"/>
    </w:rPr>
  </w:style>
  <w:style w:type="paragraph" w:customStyle="1" w:styleId="147">
    <w:name w:val="正文图标题"/>
    <w:next w:val="37"/>
    <w:autoRedefine/>
    <w:qFormat/>
    <w:uiPriority w:val="0"/>
    <w:pPr>
      <w:numPr>
        <w:ilvl w:val="0"/>
        <w:numId w:val="15"/>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8">
    <w:name w:val="附录表标号"/>
    <w:basedOn w:val="1"/>
    <w:next w:val="37"/>
    <w:autoRedefine/>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149">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50">
    <w:name w:val="五级无"/>
    <w:basedOn w:val="122"/>
    <w:autoRedefine/>
    <w:qFormat/>
    <w:uiPriority w:val="0"/>
    <w:pPr>
      <w:spacing w:beforeLines="0" w:afterLines="0"/>
    </w:pPr>
    <w:rPr>
      <w:rFonts w:ascii="宋体" w:eastAsia="宋体"/>
    </w:rPr>
  </w:style>
  <w:style w:type="paragraph" w:customStyle="1" w:styleId="151">
    <w:name w:val="实施日期"/>
    <w:basedOn w:val="144"/>
    <w:autoRedefine/>
    <w:qFormat/>
    <w:uiPriority w:val="0"/>
    <w:pPr>
      <w:framePr w:wrap="around" w:vAnchor="page" w:hAnchor="text"/>
      <w:jc w:val="right"/>
    </w:pPr>
  </w:style>
  <w:style w:type="paragraph" w:customStyle="1" w:styleId="152">
    <w:name w:val="封面标准名称2"/>
    <w:basedOn w:val="98"/>
    <w:autoRedefine/>
    <w:qFormat/>
    <w:uiPriority w:val="0"/>
    <w:pPr>
      <w:framePr w:wrap="around" w:y="4469"/>
      <w:spacing w:beforeLines="630"/>
    </w:pPr>
  </w:style>
  <w:style w:type="paragraph" w:customStyle="1" w:styleId="153">
    <w:name w:val="封面一致性程度标识2"/>
    <w:basedOn w:val="121"/>
    <w:autoRedefine/>
    <w:qFormat/>
    <w:uiPriority w:val="0"/>
    <w:pPr>
      <w:framePr w:wrap="around" w:y="4469"/>
    </w:pPr>
  </w:style>
  <w:style w:type="paragraph" w:customStyle="1" w:styleId="154">
    <w:name w:val="章标题"/>
    <w:next w:val="37"/>
    <w:autoRedefine/>
    <w:qFormat/>
    <w:uiPriority w:val="0"/>
    <w:pPr>
      <w:numPr>
        <w:ilvl w:val="0"/>
        <w:numId w:val="6"/>
      </w:numPr>
      <w:spacing w:beforeLines="100" w:afterLines="100"/>
      <w:jc w:val="both"/>
      <w:outlineLvl w:val="1"/>
    </w:pPr>
    <w:rPr>
      <w:rFonts w:ascii="黑体" w:hAnsi="Times New Roman" w:eastAsia="黑体" w:cs="Times New Roman"/>
      <w:sz w:val="21"/>
      <w:lang w:val="en-US" w:eastAsia="zh-CN" w:bidi="ar-SA"/>
    </w:rPr>
  </w:style>
  <w:style w:type="paragraph" w:customStyle="1" w:styleId="155">
    <w:name w:val="标准书眉_偶数页"/>
    <w:basedOn w:val="96"/>
    <w:next w:val="1"/>
    <w:autoRedefine/>
    <w:qFormat/>
    <w:uiPriority w:val="0"/>
    <w:pPr>
      <w:jc w:val="left"/>
    </w:pPr>
  </w:style>
  <w:style w:type="paragraph" w:customStyle="1" w:styleId="156">
    <w:name w:val="四级无"/>
    <w:basedOn w:val="123"/>
    <w:autoRedefine/>
    <w:qFormat/>
    <w:uiPriority w:val="0"/>
    <w:pPr>
      <w:spacing w:beforeLines="0" w:afterLines="0"/>
    </w:pPr>
    <w:rPr>
      <w:rFonts w:ascii="宋体" w:eastAsia="宋体"/>
    </w:rPr>
  </w:style>
  <w:style w:type="paragraph" w:customStyle="1" w:styleId="157">
    <w:name w:val="注×：（正文）"/>
    <w:autoRedefine/>
    <w:qFormat/>
    <w:uiPriority w:val="0"/>
    <w:pPr>
      <w:numPr>
        <w:ilvl w:val="0"/>
        <w:numId w:val="16"/>
      </w:numPr>
      <w:jc w:val="both"/>
    </w:pPr>
    <w:rPr>
      <w:rFonts w:ascii="宋体" w:hAnsi="Times New Roman" w:eastAsia="宋体" w:cs="Times New Roman"/>
      <w:sz w:val="18"/>
      <w:szCs w:val="18"/>
      <w:lang w:val="en-US" w:eastAsia="zh-CN" w:bidi="ar-SA"/>
    </w:rPr>
  </w:style>
  <w:style w:type="paragraph" w:customStyle="1" w:styleId="158">
    <w:name w:val="列项●（二级）"/>
    <w:autoRedefine/>
    <w:qFormat/>
    <w:uiPriority w:val="0"/>
    <w:pPr>
      <w:numPr>
        <w:ilvl w:val="1"/>
        <w:numId w:val="5"/>
      </w:numPr>
      <w:tabs>
        <w:tab w:val="left" w:pos="840"/>
      </w:tabs>
      <w:jc w:val="both"/>
    </w:pPr>
    <w:rPr>
      <w:rFonts w:ascii="宋体" w:hAnsi="Times New Roman" w:eastAsia="宋体" w:cs="Times New Roman"/>
      <w:sz w:val="21"/>
      <w:lang w:val="en-US" w:eastAsia="zh-CN" w:bidi="ar-SA"/>
    </w:rPr>
  </w:style>
  <w:style w:type="paragraph" w:customStyle="1" w:styleId="159">
    <w:name w:val="示例×："/>
    <w:basedOn w:val="154"/>
    <w:autoRedefine/>
    <w:qFormat/>
    <w:uiPriority w:val="0"/>
    <w:pPr>
      <w:numPr>
        <w:numId w:val="17"/>
      </w:numPr>
      <w:spacing w:beforeLines="0" w:afterLines="0"/>
      <w:outlineLvl w:val="9"/>
    </w:pPr>
    <w:rPr>
      <w:rFonts w:ascii="宋体" w:eastAsia="宋体"/>
      <w:sz w:val="18"/>
      <w:szCs w:val="18"/>
    </w:rPr>
  </w:style>
  <w:style w:type="paragraph" w:customStyle="1" w:styleId="160">
    <w:name w:val="其他标准标志"/>
    <w:basedOn w:val="137"/>
    <w:autoRedefine/>
    <w:qFormat/>
    <w:uiPriority w:val="0"/>
    <w:pPr>
      <w:framePr w:w="6101" w:wrap="around" w:vAnchor="page" w:hAnchor="page" w:x="4673" w:y="942"/>
    </w:pPr>
    <w:rPr>
      <w:w w:val="130"/>
    </w:rPr>
  </w:style>
  <w:style w:type="paragraph" w:customStyle="1" w:styleId="161">
    <w:name w:val="标准书脚_奇数页"/>
    <w:autoRedefine/>
    <w:qFormat/>
    <w:uiPriority w:val="99"/>
    <w:pPr>
      <w:spacing w:before="120"/>
      <w:ind w:right="198"/>
      <w:jc w:val="right"/>
    </w:pPr>
    <w:rPr>
      <w:rFonts w:ascii="宋体" w:hAnsi="Times New Roman" w:eastAsia="宋体" w:cs="Times New Roman"/>
      <w:sz w:val="18"/>
      <w:szCs w:val="18"/>
      <w:lang w:val="en-US" w:eastAsia="zh-CN" w:bidi="ar-SA"/>
    </w:rPr>
  </w:style>
  <w:style w:type="paragraph" w:customStyle="1" w:styleId="162">
    <w:name w:val="注："/>
    <w:next w:val="37"/>
    <w:autoRedefine/>
    <w:qFormat/>
    <w:uiPriority w:val="0"/>
    <w:pPr>
      <w:widowControl w:val="0"/>
      <w:numPr>
        <w:ilvl w:val="0"/>
        <w:numId w:val="18"/>
      </w:numPr>
      <w:autoSpaceDE w:val="0"/>
      <w:autoSpaceDN w:val="0"/>
      <w:jc w:val="both"/>
    </w:pPr>
    <w:rPr>
      <w:rFonts w:ascii="宋体" w:hAnsi="Times New Roman" w:eastAsia="宋体" w:cs="Times New Roman"/>
      <w:sz w:val="18"/>
      <w:szCs w:val="18"/>
      <w:lang w:val="en-US" w:eastAsia="zh-CN" w:bidi="ar-SA"/>
    </w:rPr>
  </w:style>
  <w:style w:type="paragraph" w:customStyle="1" w:styleId="163">
    <w:name w:val="其他实施日期"/>
    <w:basedOn w:val="151"/>
    <w:autoRedefine/>
    <w:qFormat/>
    <w:uiPriority w:val="0"/>
    <w:pPr>
      <w:framePr w:wrap="around"/>
    </w:pPr>
  </w:style>
  <w:style w:type="paragraph" w:customStyle="1" w:styleId="164">
    <w:name w:val="附录图标号"/>
    <w:basedOn w:val="1"/>
    <w:autoRedefine/>
    <w:qFormat/>
    <w:uiPriority w:val="0"/>
    <w:pPr>
      <w:keepNext/>
      <w:pageBreakBefore/>
      <w:widowControl/>
      <w:numPr>
        <w:ilvl w:val="0"/>
        <w:numId w:val="8"/>
      </w:numPr>
      <w:spacing w:line="14" w:lineRule="exact"/>
      <w:ind w:left="0" w:firstLine="363"/>
      <w:jc w:val="center"/>
      <w:outlineLvl w:val="0"/>
    </w:pPr>
    <w:rPr>
      <w:color w:val="FFFFFF"/>
    </w:rPr>
  </w:style>
  <w:style w:type="paragraph" w:customStyle="1" w:styleId="165">
    <w:name w:val="段 Char Char"/>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66">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7">
    <w:name w:val="终结线"/>
    <w:basedOn w:val="1"/>
    <w:autoRedefine/>
    <w:qFormat/>
    <w:uiPriority w:val="0"/>
    <w:pPr>
      <w:framePr w:hSpace="181" w:vSpace="181" w:wrap="around" w:vAnchor="text" w:hAnchor="margin" w:xAlign="center" w:y="285"/>
    </w:pPr>
  </w:style>
  <w:style w:type="paragraph" w:customStyle="1" w:styleId="168">
    <w:name w:val="附录公式编号制表符"/>
    <w:basedOn w:val="1"/>
    <w:next w:val="37"/>
    <w:qFormat/>
    <w:uiPriority w:val="0"/>
    <w:pPr>
      <w:widowControl/>
      <w:tabs>
        <w:tab w:val="center" w:pos="4201"/>
        <w:tab w:val="right" w:leader="dot" w:pos="9298"/>
      </w:tabs>
      <w:autoSpaceDE w:val="0"/>
      <w:autoSpaceDN w:val="0"/>
    </w:pPr>
    <w:rPr>
      <w:rFonts w:ascii="宋体"/>
      <w:kern w:val="0"/>
      <w:szCs w:val="20"/>
    </w:rPr>
  </w:style>
  <w:style w:type="paragraph" w:customStyle="1" w:styleId="169">
    <w:name w:val="封面正文"/>
    <w:autoRedefine/>
    <w:qFormat/>
    <w:uiPriority w:val="0"/>
    <w:pPr>
      <w:jc w:val="both"/>
    </w:pPr>
    <w:rPr>
      <w:rFonts w:ascii="Times New Roman" w:hAnsi="Times New Roman" w:eastAsia="宋体" w:cs="Times New Roman"/>
      <w:lang w:val="en-US" w:eastAsia="zh-CN" w:bidi="ar-SA"/>
    </w:rPr>
  </w:style>
  <w:style w:type="paragraph" w:customStyle="1" w:styleId="170">
    <w:name w:val="注：（正文）"/>
    <w:basedOn w:val="162"/>
    <w:next w:val="37"/>
    <w:qFormat/>
    <w:uiPriority w:val="0"/>
  </w:style>
  <w:style w:type="paragraph" w:customStyle="1" w:styleId="171">
    <w:name w:val="封面标准文稿类别2"/>
    <w:basedOn w:val="120"/>
    <w:autoRedefine/>
    <w:qFormat/>
    <w:uiPriority w:val="0"/>
    <w:pPr>
      <w:framePr w:wrap="around" w:y="4469"/>
    </w:pPr>
  </w:style>
  <w:style w:type="paragraph" w:customStyle="1" w:styleId="172">
    <w:name w:val="Char Char Char Char Char Char Char"/>
    <w:basedOn w:val="1"/>
    <w:autoRedefine/>
    <w:qFormat/>
    <w:uiPriority w:val="0"/>
  </w:style>
  <w:style w:type="paragraph" w:customStyle="1" w:styleId="173">
    <w:name w:val="列项◆（三级）"/>
    <w:basedOn w:val="1"/>
    <w:qFormat/>
    <w:uiPriority w:val="0"/>
    <w:pPr>
      <w:numPr>
        <w:ilvl w:val="2"/>
        <w:numId w:val="5"/>
      </w:numPr>
    </w:pPr>
    <w:rPr>
      <w:rFonts w:ascii="宋体"/>
      <w:szCs w:val="21"/>
    </w:rPr>
  </w:style>
  <w:style w:type="character" w:customStyle="1" w:styleId="174">
    <w:name w:val="fw2"/>
    <w:autoRedefine/>
    <w:qFormat/>
    <w:uiPriority w:val="0"/>
  </w:style>
  <w:style w:type="paragraph" w:customStyle="1" w:styleId="17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76">
    <w:name w:val="List Paragraph"/>
    <w:basedOn w:val="1"/>
    <w:link w:val="177"/>
    <w:qFormat/>
    <w:uiPriority w:val="34"/>
    <w:pPr>
      <w:ind w:firstLine="420" w:firstLineChars="200"/>
    </w:pPr>
    <w:rPr>
      <w:rFonts w:ascii="Calibri" w:hAnsi="Calibri"/>
      <w:szCs w:val="22"/>
    </w:rPr>
  </w:style>
  <w:style w:type="character" w:customStyle="1" w:styleId="177">
    <w:name w:val="列表段落 字符"/>
    <w:link w:val="176"/>
    <w:qFormat/>
    <w:uiPriority w:val="34"/>
    <w:rPr>
      <w:rFonts w:ascii="Calibri" w:hAnsi="Calibri"/>
      <w:kern w:val="2"/>
      <w:sz w:val="21"/>
      <w:szCs w:val="22"/>
    </w:rPr>
  </w:style>
  <w:style w:type="character" w:customStyle="1" w:styleId="178">
    <w:name w:val="A12"/>
    <w:autoRedefine/>
    <w:qFormat/>
    <w:uiPriority w:val="99"/>
    <w:rPr>
      <w:rFonts w:cs="Helvetica"/>
      <w:color w:val="000000"/>
      <w:sz w:val="19"/>
      <w:szCs w:val="19"/>
    </w:rPr>
  </w:style>
  <w:style w:type="paragraph" w:customStyle="1" w:styleId="179">
    <w:name w:val="xl93"/>
    <w:basedOn w:val="1"/>
    <w:autoRedefine/>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textAlignment w:val="center"/>
    </w:pPr>
    <w:rPr>
      <w:rFonts w:ascii="宋体" w:hAnsi="宋体" w:cs="宋体"/>
      <w:b/>
      <w:bCs/>
      <w:kern w:val="0"/>
      <w:sz w:val="20"/>
      <w:szCs w:val="20"/>
    </w:rPr>
  </w:style>
  <w:style w:type="character" w:customStyle="1" w:styleId="180">
    <w:name w:val="批注文字 Char1"/>
    <w:qFormat/>
    <w:uiPriority w:val="0"/>
    <w:rPr>
      <w:kern w:val="2"/>
      <w:sz w:val="21"/>
      <w:szCs w:val="24"/>
    </w:rPr>
  </w:style>
  <w:style w:type="paragraph" w:customStyle="1" w:styleId="181">
    <w:name w:val="标题3"/>
    <w:basedOn w:val="176"/>
    <w:autoRedefine/>
    <w:qFormat/>
    <w:uiPriority w:val="1"/>
    <w:pPr>
      <w:widowControl/>
      <w:numPr>
        <w:ilvl w:val="2"/>
        <w:numId w:val="19"/>
      </w:numPr>
      <w:spacing w:beforeLines="50" w:afterLines="50" w:line="360" w:lineRule="auto"/>
      <w:ind w:firstLine="0" w:firstLineChars="0"/>
      <w:jc w:val="left"/>
      <w:outlineLvl w:val="1"/>
    </w:pPr>
    <w:rPr>
      <w:rFonts w:ascii="宋体" w:hAnsi="宋体"/>
      <w:b/>
      <w:iCs/>
      <w:color w:val="000000"/>
      <w:kern w:val="0"/>
      <w:sz w:val="24"/>
      <w:szCs w:val="24"/>
    </w:rPr>
  </w:style>
  <w:style w:type="paragraph" w:customStyle="1" w:styleId="182">
    <w:name w:val="一级条标题新"/>
    <w:basedOn w:val="154"/>
    <w:next w:val="37"/>
    <w:autoRedefine/>
    <w:qFormat/>
    <w:uiPriority w:val="1"/>
    <w:pPr>
      <w:tabs>
        <w:tab w:val="left" w:pos="220"/>
        <w:tab w:val="left" w:pos="440"/>
      </w:tabs>
      <w:spacing w:beforeLines="50" w:afterLines="50"/>
      <w:jc w:val="left"/>
    </w:pPr>
    <w:rPr>
      <w:bCs/>
      <w:color w:val="000000"/>
      <w:szCs w:val="21"/>
    </w:rPr>
  </w:style>
  <w:style w:type="paragraph" w:customStyle="1" w:styleId="183">
    <w:name w:val="标准文件_数字编号列项（二级）"/>
    <w:qFormat/>
    <w:uiPriority w:val="0"/>
    <w:pPr>
      <w:numPr>
        <w:ilvl w:val="1"/>
        <w:numId w:val="20"/>
      </w:numPr>
      <w:jc w:val="both"/>
    </w:pPr>
    <w:rPr>
      <w:rFonts w:ascii="宋体" w:hAnsi="Times New Roman" w:eastAsia="宋体" w:cs="Times New Roman"/>
      <w:sz w:val="21"/>
      <w:lang w:val="en-US" w:eastAsia="zh-CN" w:bidi="ar-SA"/>
    </w:rPr>
  </w:style>
  <w:style w:type="paragraph" w:customStyle="1" w:styleId="184">
    <w:name w:val="标准文件_编号列项（三级）"/>
    <w:qFormat/>
    <w:uiPriority w:val="0"/>
    <w:pPr>
      <w:numPr>
        <w:ilvl w:val="2"/>
        <w:numId w:val="20"/>
      </w:numPr>
    </w:pPr>
    <w:rPr>
      <w:rFonts w:ascii="宋体" w:hAnsi="Times New Roman" w:eastAsia="宋体" w:cs="Times New Roman"/>
      <w:sz w:val="21"/>
      <w:lang w:val="en-US" w:eastAsia="zh-CN" w:bidi="ar-SA"/>
    </w:rPr>
  </w:style>
  <w:style w:type="paragraph" w:customStyle="1" w:styleId="185">
    <w:name w:val="标准文件_字母编号列项（一级）"/>
    <w:autoRedefine/>
    <w:qFormat/>
    <w:uiPriority w:val="0"/>
    <w:pPr>
      <w:numPr>
        <w:ilvl w:val="0"/>
        <w:numId w:val="20"/>
      </w:numPr>
      <w:jc w:val="both"/>
    </w:pPr>
    <w:rPr>
      <w:rFonts w:ascii="宋体" w:hAnsi="Times New Roman" w:eastAsia="宋体" w:cs="Times New Roman"/>
      <w:sz w:val="21"/>
      <w:lang w:val="en-US" w:eastAsia="zh-CN" w:bidi="ar-SA"/>
    </w:rPr>
  </w:style>
  <w:style w:type="paragraph" w:customStyle="1" w:styleId="186">
    <w:name w:val="标准文件_二级条标题"/>
    <w:next w:val="1"/>
    <w:autoRedefine/>
    <w:qFormat/>
    <w:uiPriority w:val="0"/>
    <w:pPr>
      <w:widowControl w:val="0"/>
      <w:numPr>
        <w:ilvl w:val="3"/>
        <w:numId w:val="21"/>
      </w:numPr>
      <w:spacing w:beforeLines="50" w:afterLines="50"/>
      <w:jc w:val="both"/>
      <w:outlineLvl w:val="2"/>
    </w:pPr>
    <w:rPr>
      <w:rFonts w:ascii="黑体" w:hAnsi="Times New Roman" w:eastAsia="黑体" w:cs="Times New Roman"/>
      <w:sz w:val="21"/>
      <w:lang w:val="en-US" w:eastAsia="zh-CN" w:bidi="ar-SA"/>
    </w:rPr>
  </w:style>
  <w:style w:type="paragraph" w:customStyle="1" w:styleId="187">
    <w:name w:val="标准文件_三级条标题"/>
    <w:basedOn w:val="186"/>
    <w:next w:val="1"/>
    <w:qFormat/>
    <w:uiPriority w:val="0"/>
    <w:pPr>
      <w:widowControl/>
      <w:numPr>
        <w:ilvl w:val="4"/>
      </w:numPr>
      <w:outlineLvl w:val="3"/>
    </w:pPr>
  </w:style>
  <w:style w:type="paragraph" w:customStyle="1" w:styleId="188">
    <w:name w:val="标准文件_四级条标题"/>
    <w:next w:val="1"/>
    <w:autoRedefine/>
    <w:qFormat/>
    <w:uiPriority w:val="0"/>
    <w:pPr>
      <w:widowControl w:val="0"/>
      <w:numPr>
        <w:ilvl w:val="5"/>
        <w:numId w:val="21"/>
      </w:numPr>
      <w:spacing w:beforeLines="50" w:afterLines="50"/>
      <w:jc w:val="both"/>
      <w:outlineLvl w:val="4"/>
    </w:pPr>
    <w:rPr>
      <w:rFonts w:ascii="黑体" w:hAnsi="Times New Roman" w:eastAsia="黑体" w:cs="Times New Roman"/>
      <w:sz w:val="21"/>
      <w:lang w:val="en-US" w:eastAsia="zh-CN" w:bidi="ar-SA"/>
    </w:rPr>
  </w:style>
  <w:style w:type="paragraph" w:customStyle="1" w:styleId="189">
    <w:name w:val="标准文件_五级条标题"/>
    <w:next w:val="1"/>
    <w:autoRedefine/>
    <w:qFormat/>
    <w:uiPriority w:val="0"/>
    <w:pPr>
      <w:widowControl w:val="0"/>
      <w:numPr>
        <w:ilvl w:val="6"/>
        <w:numId w:val="21"/>
      </w:numPr>
      <w:spacing w:beforeLines="50" w:afterLines="50"/>
      <w:jc w:val="both"/>
      <w:outlineLvl w:val="5"/>
    </w:pPr>
    <w:rPr>
      <w:rFonts w:ascii="黑体" w:hAnsi="Times New Roman" w:eastAsia="黑体" w:cs="Times New Roman"/>
      <w:sz w:val="21"/>
      <w:lang w:val="en-US" w:eastAsia="zh-CN" w:bidi="ar-SA"/>
    </w:rPr>
  </w:style>
  <w:style w:type="paragraph" w:customStyle="1" w:styleId="190">
    <w:name w:val="标准文件_章标题"/>
    <w:next w:val="1"/>
    <w:qFormat/>
    <w:uiPriority w:val="0"/>
    <w:pPr>
      <w:numPr>
        <w:ilvl w:val="1"/>
        <w:numId w:val="21"/>
      </w:numPr>
      <w:spacing w:beforeLines="100" w:afterLines="100"/>
      <w:jc w:val="both"/>
      <w:outlineLvl w:val="0"/>
    </w:pPr>
    <w:rPr>
      <w:rFonts w:ascii="黑体" w:hAnsi="Times New Roman" w:eastAsia="黑体" w:cs="Times New Roman"/>
      <w:sz w:val="21"/>
      <w:lang w:val="en-US" w:eastAsia="zh-CN" w:bidi="ar-SA"/>
    </w:rPr>
  </w:style>
  <w:style w:type="paragraph" w:customStyle="1" w:styleId="191">
    <w:name w:val="标准文件_一级条标题"/>
    <w:basedOn w:val="190"/>
    <w:next w:val="1"/>
    <w:qFormat/>
    <w:uiPriority w:val="0"/>
    <w:pPr>
      <w:numPr>
        <w:ilvl w:val="2"/>
      </w:numPr>
      <w:spacing w:beforeLines="50" w:afterLines="50"/>
      <w:outlineLvl w:val="1"/>
    </w:pPr>
  </w:style>
  <w:style w:type="paragraph" w:customStyle="1" w:styleId="192">
    <w:name w:val="前言标题"/>
    <w:next w:val="1"/>
    <w:autoRedefine/>
    <w:qFormat/>
    <w:uiPriority w:val="0"/>
    <w:pPr>
      <w:numPr>
        <w:ilvl w:val="0"/>
        <w:numId w:val="2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93">
    <w:name w:val="标准文件_三级无标题"/>
    <w:basedOn w:val="187"/>
    <w:autoRedefine/>
    <w:qFormat/>
    <w:uiPriority w:val="0"/>
    <w:pPr>
      <w:spacing w:beforeLines="0" w:afterLines="0"/>
      <w:outlineLvl w:val="9"/>
    </w:pPr>
    <w:rPr>
      <w:rFonts w:ascii="宋体" w:eastAsia="宋体"/>
    </w:rPr>
  </w:style>
  <w:style w:type="character" w:customStyle="1" w:styleId="194">
    <w:name w:val="批注文字 Char"/>
    <w:qFormat/>
    <w:uiPriority w:val="0"/>
    <w:rPr>
      <w:kern w:val="2"/>
      <w:sz w:val="21"/>
      <w:szCs w:val="24"/>
    </w:rPr>
  </w:style>
  <w:style w:type="paragraph" w:customStyle="1" w:styleId="195">
    <w:name w:val="修订1"/>
    <w:autoRedefine/>
    <w:unhideWhenUsed/>
    <w:qFormat/>
    <w:uiPriority w:val="99"/>
    <w:rPr>
      <w:rFonts w:ascii="Times New Roman" w:hAnsi="Times New Roman" w:eastAsia="宋体" w:cs="Times New Roman"/>
      <w:kern w:val="2"/>
      <w:sz w:val="21"/>
      <w:szCs w:val="24"/>
      <w:lang w:val="en-US" w:eastAsia="zh-CN" w:bidi="ar-SA"/>
    </w:rPr>
  </w:style>
  <w:style w:type="paragraph" w:customStyle="1" w:styleId="196">
    <w:name w:val="A-z正文"/>
    <w:basedOn w:val="37"/>
    <w:link w:val="197"/>
    <w:autoRedefine/>
    <w:qFormat/>
    <w:uiPriority w:val="0"/>
  </w:style>
  <w:style w:type="character" w:customStyle="1" w:styleId="197">
    <w:name w:val="A-z正文 Char"/>
    <w:link w:val="196"/>
    <w:qFormat/>
    <w:uiPriority w:val="0"/>
    <w:rPr>
      <w:rFonts w:ascii="宋体"/>
      <w:sz w:val="21"/>
    </w:rPr>
  </w:style>
  <w:style w:type="paragraph" w:customStyle="1" w:styleId="198">
    <w:name w:val="A-题注-表"/>
    <w:basedOn w:val="13"/>
    <w:link w:val="199"/>
    <w:qFormat/>
    <w:uiPriority w:val="0"/>
    <w:pPr>
      <w:spacing w:beforeLines="50" w:after="0" w:line="360" w:lineRule="auto"/>
      <w:jc w:val="center"/>
    </w:pPr>
    <w:rPr>
      <w:rFonts w:ascii="Times New Roman" w:hAnsi="Times New Roman" w:eastAsia="宋体" w:cs="Times New Roman"/>
      <w:b/>
      <w:sz w:val="21"/>
    </w:rPr>
  </w:style>
  <w:style w:type="character" w:customStyle="1" w:styleId="199">
    <w:name w:val="A-题注-表 Char"/>
    <w:link w:val="198"/>
    <w:qFormat/>
    <w:uiPriority w:val="0"/>
    <w:rPr>
      <w:rFonts w:cs="Arial"/>
      <w:b/>
      <w:kern w:val="2"/>
      <w:sz w:val="21"/>
    </w:rPr>
  </w:style>
  <w:style w:type="paragraph" w:customStyle="1" w:styleId="200">
    <w:name w:val="样式 章标题 + 左侧:  0.93 厘米 段前: 1 行 段后: 1 行"/>
    <w:basedOn w:val="154"/>
    <w:qFormat/>
    <w:uiPriority w:val="0"/>
    <w:pPr>
      <w:numPr>
        <w:ilvl w:val="0"/>
        <w:numId w:val="22"/>
      </w:numPr>
      <w:adjustRightInd w:val="0"/>
      <w:snapToGrid w:val="0"/>
      <w:spacing w:beforeLines="0" w:afterLines="0"/>
      <w:outlineLvl w:val="2"/>
    </w:pPr>
    <w:rPr>
      <w:rFonts w:cs="宋体"/>
    </w:rPr>
  </w:style>
  <w:style w:type="paragraph" w:customStyle="1" w:styleId="201">
    <w:name w:val="【A】三级标题"/>
    <w:basedOn w:val="154"/>
    <w:autoRedefine/>
    <w:qFormat/>
    <w:uiPriority w:val="0"/>
    <w:pPr>
      <w:numPr>
        <w:ilvl w:val="0"/>
        <w:numId w:val="0"/>
      </w:numPr>
      <w:spacing w:beforeLines="50" w:afterLines="50"/>
      <w:ind w:left="530"/>
      <w:outlineLvl w:val="2"/>
    </w:pPr>
  </w:style>
  <w:style w:type="character" w:styleId="202">
    <w:name w:val="Placeholder Text"/>
    <w:basedOn w:val="52"/>
    <w:unhideWhenUsed/>
    <w:qFormat/>
    <w:uiPriority w:val="99"/>
    <w:rPr>
      <w:color w:val="808080"/>
    </w:rPr>
  </w:style>
  <w:style w:type="paragraph" w:customStyle="1" w:styleId="203">
    <w:name w:val="修订2"/>
    <w:hidden/>
    <w:unhideWhenUsed/>
    <w:qFormat/>
    <w:uiPriority w:val="99"/>
    <w:rPr>
      <w:rFonts w:ascii="Times New Roman" w:hAnsi="Times New Roman" w:eastAsia="宋体" w:cs="Times New Roman"/>
      <w:kern w:val="2"/>
      <w:sz w:val="21"/>
      <w:szCs w:val="24"/>
      <w:lang w:val="en-US" w:eastAsia="zh-CN" w:bidi="ar-SA"/>
    </w:rPr>
  </w:style>
  <w:style w:type="character" w:customStyle="1" w:styleId="204">
    <w:name w:val="标题 4 字符"/>
    <w:basedOn w:val="52"/>
    <w:link w:val="5"/>
    <w:qFormat/>
    <w:uiPriority w:val="9"/>
    <w:rPr>
      <w:rFonts w:ascii="Arial" w:hAnsi="Arial" w:eastAsia="黑体"/>
      <w:b/>
      <w:bCs/>
      <w:kern w:val="2"/>
      <w:sz w:val="28"/>
      <w:szCs w:val="28"/>
    </w:rPr>
  </w:style>
  <w:style w:type="character" w:customStyle="1" w:styleId="205">
    <w:name w:val="标题 5 字符"/>
    <w:basedOn w:val="52"/>
    <w:link w:val="6"/>
    <w:qFormat/>
    <w:uiPriority w:val="9"/>
    <w:rPr>
      <w:b/>
      <w:bCs/>
      <w:kern w:val="2"/>
      <w:sz w:val="28"/>
      <w:szCs w:val="28"/>
    </w:rPr>
  </w:style>
  <w:style w:type="character" w:customStyle="1" w:styleId="206">
    <w:name w:val="标题 6 字符"/>
    <w:basedOn w:val="52"/>
    <w:link w:val="7"/>
    <w:qFormat/>
    <w:uiPriority w:val="0"/>
    <w:rPr>
      <w:rFonts w:ascii="Arial" w:hAnsi="Arial" w:eastAsia="黑体"/>
      <w:b/>
      <w:bCs/>
      <w:kern w:val="2"/>
      <w:sz w:val="24"/>
      <w:szCs w:val="24"/>
    </w:rPr>
  </w:style>
  <w:style w:type="character" w:customStyle="1" w:styleId="207">
    <w:name w:val="标题 7 字符"/>
    <w:basedOn w:val="52"/>
    <w:link w:val="8"/>
    <w:qFormat/>
    <w:uiPriority w:val="0"/>
    <w:rPr>
      <w:b/>
      <w:bCs/>
      <w:kern w:val="2"/>
      <w:sz w:val="24"/>
      <w:szCs w:val="24"/>
    </w:rPr>
  </w:style>
  <w:style w:type="character" w:customStyle="1" w:styleId="208">
    <w:name w:val="标题 8 字符"/>
    <w:basedOn w:val="52"/>
    <w:link w:val="9"/>
    <w:qFormat/>
    <w:uiPriority w:val="0"/>
    <w:rPr>
      <w:rFonts w:ascii="Arial" w:hAnsi="Arial" w:eastAsia="黑体"/>
      <w:kern w:val="2"/>
      <w:sz w:val="24"/>
      <w:szCs w:val="24"/>
    </w:rPr>
  </w:style>
  <w:style w:type="character" w:customStyle="1" w:styleId="209">
    <w:name w:val="标题 9 字符"/>
    <w:basedOn w:val="52"/>
    <w:link w:val="10"/>
    <w:qFormat/>
    <w:uiPriority w:val="0"/>
    <w:rPr>
      <w:rFonts w:ascii="Arial" w:hAnsi="Arial" w:eastAsia="黑体"/>
      <w:kern w:val="2"/>
      <w:sz w:val="21"/>
      <w:szCs w:val="21"/>
    </w:rPr>
  </w:style>
  <w:style w:type="character" w:customStyle="1" w:styleId="210">
    <w:name w:val="文档结构图 字符"/>
    <w:basedOn w:val="52"/>
    <w:link w:val="15"/>
    <w:semiHidden/>
    <w:qFormat/>
    <w:uiPriority w:val="0"/>
    <w:rPr>
      <w:kern w:val="2"/>
      <w:sz w:val="21"/>
      <w:szCs w:val="24"/>
      <w:shd w:val="clear" w:color="auto" w:fill="000080"/>
    </w:rPr>
  </w:style>
  <w:style w:type="character" w:customStyle="1" w:styleId="211">
    <w:name w:val="正文文本缩进 字符"/>
    <w:basedOn w:val="52"/>
    <w:link w:val="18"/>
    <w:qFormat/>
    <w:uiPriority w:val="0"/>
    <w:rPr>
      <w:kern w:val="2"/>
      <w:sz w:val="21"/>
      <w:szCs w:val="24"/>
    </w:rPr>
  </w:style>
  <w:style w:type="character" w:customStyle="1" w:styleId="212">
    <w:name w:val="HTML 地址 字符"/>
    <w:basedOn w:val="52"/>
    <w:link w:val="20"/>
    <w:qFormat/>
    <w:uiPriority w:val="0"/>
    <w:rPr>
      <w:i/>
      <w:iCs/>
      <w:kern w:val="2"/>
      <w:sz w:val="21"/>
      <w:szCs w:val="24"/>
    </w:rPr>
  </w:style>
  <w:style w:type="character" w:customStyle="1" w:styleId="213">
    <w:name w:val="纯文本 字符"/>
    <w:basedOn w:val="52"/>
    <w:link w:val="24"/>
    <w:qFormat/>
    <w:uiPriority w:val="0"/>
    <w:rPr>
      <w:rFonts w:ascii="宋体" w:hAnsi="Courier New" w:cs="Courier New"/>
      <w:kern w:val="2"/>
      <w:sz w:val="21"/>
      <w:szCs w:val="21"/>
    </w:rPr>
  </w:style>
  <w:style w:type="character" w:customStyle="1" w:styleId="214">
    <w:name w:val="日期 字符"/>
    <w:basedOn w:val="52"/>
    <w:link w:val="27"/>
    <w:qFormat/>
    <w:uiPriority w:val="0"/>
    <w:rPr>
      <w:rFonts w:ascii="宋体"/>
      <w:sz w:val="21"/>
      <w:szCs w:val="21"/>
      <w:lang w:val="en-US" w:eastAsia="zh-CN"/>
    </w:rPr>
  </w:style>
  <w:style w:type="character" w:customStyle="1" w:styleId="215">
    <w:name w:val="正文文本缩进 2 字符"/>
    <w:basedOn w:val="52"/>
    <w:link w:val="28"/>
    <w:qFormat/>
    <w:uiPriority w:val="0"/>
    <w:rPr>
      <w:kern w:val="2"/>
      <w:sz w:val="21"/>
      <w:szCs w:val="24"/>
    </w:rPr>
  </w:style>
  <w:style w:type="character" w:customStyle="1" w:styleId="216">
    <w:name w:val="页脚 字符"/>
    <w:basedOn w:val="52"/>
    <w:link w:val="31"/>
    <w:qFormat/>
    <w:uiPriority w:val="99"/>
    <w:rPr>
      <w:kern w:val="2"/>
      <w:sz w:val="18"/>
      <w:szCs w:val="18"/>
    </w:rPr>
  </w:style>
  <w:style w:type="character" w:customStyle="1" w:styleId="217">
    <w:name w:val="页眉 字符"/>
    <w:basedOn w:val="52"/>
    <w:link w:val="32"/>
    <w:qFormat/>
    <w:uiPriority w:val="0"/>
    <w:rPr>
      <w:kern w:val="2"/>
      <w:sz w:val="18"/>
      <w:szCs w:val="18"/>
    </w:rPr>
  </w:style>
  <w:style w:type="character" w:customStyle="1" w:styleId="218">
    <w:name w:val="脚注文本 字符"/>
    <w:basedOn w:val="52"/>
    <w:link w:val="38"/>
    <w:qFormat/>
    <w:uiPriority w:val="99"/>
    <w:rPr>
      <w:rFonts w:ascii="宋体"/>
      <w:kern w:val="2"/>
      <w:sz w:val="18"/>
      <w:szCs w:val="18"/>
    </w:rPr>
  </w:style>
  <w:style w:type="character" w:customStyle="1" w:styleId="219">
    <w:name w:val="正文文本缩进 3 字符"/>
    <w:basedOn w:val="52"/>
    <w:link w:val="40"/>
    <w:qFormat/>
    <w:uiPriority w:val="0"/>
    <w:rPr>
      <w:rFonts w:ascii="宋体" w:hAnsi="宋体"/>
      <w:sz w:val="21"/>
      <w:szCs w:val="28"/>
    </w:rPr>
  </w:style>
  <w:style w:type="character" w:customStyle="1" w:styleId="220">
    <w:name w:val="HTML 预设格式 字符"/>
    <w:basedOn w:val="52"/>
    <w:link w:val="45"/>
    <w:qFormat/>
    <w:uiPriority w:val="99"/>
    <w:rPr>
      <w:rFonts w:ascii="Courier New" w:hAnsi="Courier New"/>
      <w:kern w:val="2"/>
    </w:rPr>
  </w:style>
  <w:style w:type="character" w:customStyle="1" w:styleId="221">
    <w:name w:val="普通(网站) 字符"/>
    <w:link w:val="46"/>
    <w:qFormat/>
    <w:uiPriority w:val="0"/>
    <w:rPr>
      <w:rFonts w:ascii="宋体" w:hAnsi="宋体" w:cs="宋体"/>
      <w:sz w:val="24"/>
      <w:szCs w:val="24"/>
    </w:rPr>
  </w:style>
  <w:style w:type="character" w:customStyle="1" w:styleId="222">
    <w:name w:val="标题 字符"/>
    <w:basedOn w:val="52"/>
    <w:link w:val="48"/>
    <w:qFormat/>
    <w:uiPriority w:val="10"/>
    <w:rPr>
      <w:rFonts w:ascii="Arial" w:hAnsi="Arial" w:eastAsia="黑体" w:cs="Arial"/>
      <w:b/>
      <w:bCs/>
      <w:kern w:val="2"/>
      <w:sz w:val="32"/>
      <w:szCs w:val="32"/>
    </w:rPr>
  </w:style>
  <w:style w:type="table" w:customStyle="1" w:styleId="223">
    <w:name w:val="网格型1"/>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4">
    <w:name w:val="个人撰写风格"/>
    <w:qFormat/>
    <w:uiPriority w:val="0"/>
    <w:rPr>
      <w:rFonts w:ascii="Arial" w:hAnsi="Arial" w:eastAsia="宋体" w:cs="Arial"/>
      <w:color w:val="auto"/>
      <w:sz w:val="20"/>
    </w:rPr>
  </w:style>
  <w:style w:type="character" w:customStyle="1" w:styleId="225">
    <w:name w:val="标题 2 Char"/>
    <w:qFormat/>
    <w:uiPriority w:val="0"/>
    <w:rPr>
      <w:rFonts w:eastAsia="宋体"/>
      <w:b/>
      <w:bCs/>
      <w:kern w:val="2"/>
      <w:sz w:val="21"/>
      <w:szCs w:val="32"/>
      <w:lang w:val="en-US" w:eastAsia="zh-CN" w:bidi="ar-SA"/>
    </w:rPr>
  </w:style>
  <w:style w:type="character" w:customStyle="1" w:styleId="226">
    <w:name w:val="样式 正文标准 + 宋体 Char"/>
    <w:qFormat/>
    <w:uiPriority w:val="0"/>
    <w:rPr>
      <w:rFonts w:ascii="宋体" w:hAnsi="宋体" w:eastAsia="宋体"/>
      <w:kern w:val="2"/>
      <w:sz w:val="21"/>
      <w:lang w:val="en-US" w:eastAsia="zh-CN" w:bidi="ar-SA"/>
    </w:rPr>
  </w:style>
  <w:style w:type="character" w:customStyle="1" w:styleId="227">
    <w:name w:val="apple-converted-space"/>
    <w:qFormat/>
    <w:uiPriority w:val="0"/>
  </w:style>
  <w:style w:type="character" w:customStyle="1" w:styleId="228">
    <w:name w:val="个人答复风格"/>
    <w:qFormat/>
    <w:uiPriority w:val="0"/>
    <w:rPr>
      <w:rFonts w:ascii="Arial" w:hAnsi="Arial" w:eastAsia="宋体" w:cs="Arial"/>
      <w:color w:val="auto"/>
      <w:sz w:val="20"/>
    </w:rPr>
  </w:style>
  <w:style w:type="character" w:customStyle="1" w:styleId="229">
    <w:name w:val="普通(网站) Char"/>
    <w:qFormat/>
    <w:uiPriority w:val="0"/>
    <w:rPr>
      <w:rFonts w:ascii="宋体" w:hAnsi="宋体" w:eastAsia="宋体" w:cs="宋体"/>
      <w:color w:val="000000"/>
      <w:sz w:val="24"/>
      <w:szCs w:val="24"/>
      <w:lang w:val="en-US" w:eastAsia="zh-CN" w:bidi="ar-SA"/>
    </w:rPr>
  </w:style>
  <w:style w:type="paragraph" w:customStyle="1" w:styleId="230">
    <w:name w:val="无标题条"/>
    <w:next w:val="37"/>
    <w:qFormat/>
    <w:uiPriority w:val="0"/>
    <w:pPr>
      <w:jc w:val="both"/>
    </w:pPr>
    <w:rPr>
      <w:rFonts w:ascii="Times New Roman" w:hAnsi="Times New Roman" w:eastAsia="宋体" w:cs="Times New Roman"/>
      <w:sz w:val="21"/>
      <w:lang w:val="en-US" w:eastAsia="zh-CN" w:bidi="ar-SA"/>
    </w:rPr>
  </w:style>
  <w:style w:type="paragraph" w:customStyle="1" w:styleId="231">
    <w:name w:val="正文标准"/>
    <w:basedOn w:val="1"/>
    <w:qFormat/>
    <w:uiPriority w:val="0"/>
    <w:pPr>
      <w:spacing w:line="360" w:lineRule="exact"/>
      <w:ind w:firstLine="200" w:firstLineChars="200"/>
    </w:pPr>
    <w:rPr>
      <w:rFonts w:cs="宋体"/>
      <w:szCs w:val="20"/>
    </w:rPr>
  </w:style>
  <w:style w:type="paragraph" w:customStyle="1" w:styleId="232">
    <w:name w:val="四级无标题条"/>
    <w:basedOn w:val="1"/>
    <w:qFormat/>
    <w:uiPriority w:val="0"/>
    <w:pPr>
      <w:numPr>
        <w:ilvl w:val="5"/>
        <w:numId w:val="1"/>
      </w:numPr>
      <w:ind w:left="200" w:leftChars="200"/>
    </w:pPr>
  </w:style>
  <w:style w:type="paragraph" w:customStyle="1" w:styleId="233">
    <w:name w:val="样式1"/>
    <w:basedOn w:val="2"/>
    <w:qFormat/>
    <w:uiPriority w:val="0"/>
    <w:pPr>
      <w:keepNext/>
      <w:keepLines/>
      <w:widowControl w:val="0"/>
      <w:numPr>
        <w:numId w:val="0"/>
      </w:numPr>
      <w:tabs>
        <w:tab w:val="clear" w:pos="454"/>
      </w:tabs>
      <w:spacing w:before="156" w:beforeLines="50" w:beforeAutospacing="0" w:after="156" w:afterLines="50" w:afterAutospacing="0"/>
      <w:jc w:val="both"/>
    </w:pPr>
    <w:rPr>
      <w:rFonts w:ascii="Times New Roman" w:hAnsi="Times New Roman"/>
      <w:kern w:val="44"/>
      <w:sz w:val="21"/>
      <w:szCs w:val="44"/>
    </w:rPr>
  </w:style>
  <w:style w:type="paragraph" w:customStyle="1" w:styleId="234">
    <w:name w:val="1表格标题"/>
    <w:basedOn w:val="1"/>
    <w:qFormat/>
    <w:uiPriority w:val="0"/>
    <w:pPr>
      <w:widowControl/>
      <w:spacing w:beforeLines="50"/>
      <w:jc w:val="left"/>
      <w:outlineLvl w:val="8"/>
    </w:pPr>
    <w:rPr>
      <w:rFonts w:eastAsia="黑体"/>
      <w:b/>
      <w:bCs/>
      <w:snapToGrid w:val="0"/>
    </w:rPr>
  </w:style>
  <w:style w:type="paragraph" w:customStyle="1" w:styleId="235">
    <w:name w:val="样式 样式 样式 样式 标题 1 + + (中文) 仿宋_GB2312 行距: 固定值 25 磅 + 首行缩进:  2 字符 段..."/>
    <w:basedOn w:val="1"/>
    <w:qFormat/>
    <w:uiPriority w:val="0"/>
    <w:pPr>
      <w:keepNext/>
      <w:keepLines/>
      <w:spacing w:before="156" w:beforeLines="50" w:after="156" w:afterLines="50" w:line="560" w:lineRule="exact"/>
      <w:ind w:firstLine="200" w:firstLineChars="200"/>
      <w:outlineLvl w:val="0"/>
    </w:pPr>
    <w:rPr>
      <w:rFonts w:eastAsia="仿宋_GB2312"/>
      <w:b/>
      <w:bCs/>
      <w:kern w:val="0"/>
      <w:sz w:val="28"/>
      <w:szCs w:val="20"/>
    </w:rPr>
  </w:style>
  <w:style w:type="paragraph" w:customStyle="1" w:styleId="236">
    <w:name w:val="修订3"/>
    <w:semiHidden/>
    <w:qFormat/>
    <w:uiPriority w:val="99"/>
    <w:rPr>
      <w:rFonts w:ascii="Times New Roman" w:hAnsi="Times New Roman" w:eastAsia="宋体" w:cs="Times New Roman"/>
      <w:kern w:val="2"/>
      <w:sz w:val="21"/>
      <w:szCs w:val="24"/>
      <w:lang w:val="en-US" w:eastAsia="zh-CN" w:bidi="ar-SA"/>
    </w:rPr>
  </w:style>
  <w:style w:type="paragraph" w:customStyle="1" w:styleId="237">
    <w:name w:val="一级无标题条"/>
    <w:basedOn w:val="1"/>
    <w:qFormat/>
    <w:uiPriority w:val="0"/>
    <w:pPr>
      <w:tabs>
        <w:tab w:val="left" w:pos="720"/>
      </w:tabs>
      <w:ind w:left="200" w:leftChars="200" w:hanging="720"/>
    </w:pPr>
  </w:style>
  <w:style w:type="paragraph" w:customStyle="1" w:styleId="238">
    <w:name w:val="TOC 标题1"/>
    <w:basedOn w:val="2"/>
    <w:next w:val="1"/>
    <w:qFormat/>
    <w:uiPriority w:val="39"/>
    <w:pPr>
      <w:keepNext/>
      <w:keepLines/>
      <w:numPr>
        <w:numId w:val="0"/>
      </w:numPr>
      <w:tabs>
        <w:tab w:val="clear" w:pos="454"/>
      </w:tabs>
      <w:spacing w:before="0" w:beforeAutospacing="0" w:after="0" w:afterAutospacing="0" w:line="259" w:lineRule="auto"/>
      <w:outlineLvl w:val="9"/>
    </w:pPr>
    <w:rPr>
      <w:rFonts w:ascii="Cambria" w:hAnsi="Cambria"/>
      <w:b w:val="0"/>
      <w:bCs w:val="0"/>
      <w:color w:val="365F91"/>
      <w:kern w:val="0"/>
      <w:sz w:val="32"/>
      <w:szCs w:val="32"/>
    </w:rPr>
  </w:style>
  <w:style w:type="paragraph" w:customStyle="1" w:styleId="239">
    <w:name w:val="样式11"/>
    <w:basedOn w:val="2"/>
    <w:next w:val="233"/>
    <w:qFormat/>
    <w:uiPriority w:val="0"/>
    <w:pPr>
      <w:keepNext/>
      <w:keepLines/>
      <w:widowControl w:val="0"/>
      <w:numPr>
        <w:numId w:val="0"/>
      </w:numPr>
      <w:tabs>
        <w:tab w:val="clear" w:pos="454"/>
      </w:tabs>
      <w:spacing w:before="156" w:beforeLines="50" w:beforeAutospacing="0" w:after="156" w:afterLines="50" w:afterAutospacing="0"/>
      <w:jc w:val="both"/>
    </w:pPr>
    <w:rPr>
      <w:rFonts w:ascii="Times New Roman" w:hAnsi="Times New Roman"/>
      <w:kern w:val="44"/>
      <w:sz w:val="21"/>
      <w:szCs w:val="44"/>
    </w:rPr>
  </w:style>
  <w:style w:type="paragraph" w:customStyle="1" w:styleId="240">
    <w:name w:val="二级无标题条"/>
    <w:basedOn w:val="1"/>
    <w:qFormat/>
    <w:uiPriority w:val="0"/>
    <w:pPr>
      <w:numPr>
        <w:ilvl w:val="3"/>
        <w:numId w:val="1"/>
      </w:numPr>
      <w:ind w:left="200" w:leftChars="200"/>
    </w:pPr>
  </w:style>
  <w:style w:type="paragraph" w:customStyle="1" w:styleId="241">
    <w:name w:val="列项·"/>
    <w:qFormat/>
    <w:uiPriority w:val="0"/>
    <w:pPr>
      <w:tabs>
        <w:tab w:val="left" w:pos="840"/>
      </w:tabs>
      <w:ind w:left="840" w:leftChars="200" w:hanging="420" w:hangingChars="200"/>
      <w:jc w:val="both"/>
    </w:pPr>
    <w:rPr>
      <w:rFonts w:ascii="宋体" w:hAnsi="Times New Roman" w:eastAsia="宋体" w:cs="Times New Roman"/>
      <w:sz w:val="21"/>
      <w:lang w:val="en-US" w:eastAsia="zh-CN" w:bidi="ar-SA"/>
    </w:rPr>
  </w:style>
  <w:style w:type="paragraph" w:customStyle="1" w:styleId="242">
    <w:name w:val="图表脚注"/>
    <w:next w:val="37"/>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43">
    <w:name w:val="三级无标题条"/>
    <w:basedOn w:val="1"/>
    <w:qFormat/>
    <w:uiPriority w:val="0"/>
    <w:pPr>
      <w:numPr>
        <w:ilvl w:val="4"/>
        <w:numId w:val="1"/>
      </w:numPr>
      <w:ind w:left="200" w:leftChars="200"/>
    </w:pPr>
  </w:style>
  <w:style w:type="paragraph" w:customStyle="1" w:styleId="244">
    <w:name w:val="样式 样式 标题 2 + + (西文) Times New Roman (中文) 仿宋_GB2312 四号 行距: 固定值..."/>
    <w:basedOn w:val="1"/>
    <w:qFormat/>
    <w:uiPriority w:val="0"/>
    <w:pPr>
      <w:keepNext/>
      <w:keepLines/>
      <w:spacing w:line="500" w:lineRule="exact"/>
      <w:ind w:firstLine="200" w:firstLineChars="200"/>
      <w:outlineLvl w:val="1"/>
    </w:pPr>
    <w:rPr>
      <w:rFonts w:eastAsia="仿宋_GB2312"/>
      <w:b/>
      <w:bCs/>
      <w:kern w:val="0"/>
      <w:sz w:val="28"/>
      <w:szCs w:val="20"/>
    </w:rPr>
  </w:style>
  <w:style w:type="paragraph" w:customStyle="1" w:styleId="245">
    <w:name w:val="公式"/>
    <w:basedOn w:val="1"/>
    <w:qFormat/>
    <w:uiPriority w:val="0"/>
    <w:pPr>
      <w:ind w:left="200" w:leftChars="200"/>
    </w:pPr>
  </w:style>
  <w:style w:type="paragraph" w:customStyle="1" w:styleId="246">
    <w:name w:val="正文2"/>
    <w:next w:val="1"/>
    <w:qFormat/>
    <w:uiPriority w:val="0"/>
    <w:pPr>
      <w:spacing w:line="240" w:lineRule="exact"/>
      <w:ind w:left="200" w:leftChars="200"/>
      <w:jc w:val="both"/>
    </w:pPr>
    <w:rPr>
      <w:rFonts w:ascii="Times New Roman" w:hAnsi="Times New Roman" w:eastAsia="宋体" w:cs="Times New Roman"/>
      <w:kern w:val="2"/>
      <w:sz w:val="21"/>
      <w:szCs w:val="24"/>
      <w:lang w:val="en-US" w:eastAsia="zh-CN" w:bidi="ar-SA"/>
    </w:rPr>
  </w:style>
  <w:style w:type="paragraph" w:customStyle="1" w:styleId="247">
    <w:name w:val="reader-word-layer reader-word-s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48">
    <w:name w:val="五级无标题条"/>
    <w:basedOn w:val="1"/>
    <w:qFormat/>
    <w:uiPriority w:val="0"/>
    <w:pPr>
      <w:numPr>
        <w:ilvl w:val="6"/>
        <w:numId w:val="1"/>
      </w:numPr>
      <w:ind w:left="200" w:leftChars="200"/>
    </w:pPr>
  </w:style>
  <w:style w:type="paragraph" w:customStyle="1" w:styleId="249">
    <w:name w:val="列项——"/>
    <w:qFormat/>
    <w:uiPriority w:val="0"/>
    <w:pPr>
      <w:widowControl w:val="0"/>
      <w:tabs>
        <w:tab w:val="left" w:pos="720"/>
        <w:tab w:val="left" w:pos="854"/>
      </w:tabs>
      <w:ind w:left="200" w:leftChars="200" w:hanging="200" w:hangingChars="200"/>
      <w:jc w:val="both"/>
    </w:pPr>
    <w:rPr>
      <w:rFonts w:ascii="宋体" w:hAnsi="Times New Roman" w:eastAsia="宋体" w:cs="Times New Roman"/>
      <w:sz w:val="21"/>
      <w:lang w:val="en-US" w:eastAsia="zh-CN" w:bidi="ar-SA"/>
    </w:rPr>
  </w:style>
  <w:style w:type="table" w:customStyle="1" w:styleId="250">
    <w:name w:val="网格型11"/>
    <w:basedOn w:val="50"/>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1">
    <w:name w:val="_Style 250"/>
    <w:basedOn w:val="1"/>
    <w:next w:val="176"/>
    <w:qFormat/>
    <w:uiPriority w:val="34"/>
    <w:pPr>
      <w:ind w:firstLine="420" w:firstLineChars="200"/>
    </w:pPr>
    <w:rPr>
      <w:rFonts w:ascii="Calibri" w:hAnsi="Calibri"/>
      <w:szCs w:val="22"/>
    </w:rPr>
  </w:style>
  <w:style w:type="paragraph" w:customStyle="1" w:styleId="252">
    <w:name w:val="MTDisplayEquation"/>
    <w:basedOn w:val="1"/>
    <w:next w:val="1"/>
    <w:link w:val="253"/>
    <w:qFormat/>
    <w:uiPriority w:val="0"/>
    <w:pPr>
      <w:tabs>
        <w:tab w:val="center" w:pos="4680"/>
        <w:tab w:val="right" w:pos="9360"/>
      </w:tabs>
    </w:pPr>
  </w:style>
  <w:style w:type="character" w:customStyle="1" w:styleId="253">
    <w:name w:val="MTDisplayEquation 字符"/>
    <w:basedOn w:val="52"/>
    <w:link w:val="252"/>
    <w:qFormat/>
    <w:uiPriority w:val="0"/>
    <w:rPr>
      <w:kern w:val="2"/>
      <w:sz w:val="21"/>
      <w:szCs w:val="24"/>
    </w:rPr>
  </w:style>
  <w:style w:type="paragraph" w:customStyle="1" w:styleId="254">
    <w:name w:val="_Style 159"/>
    <w:basedOn w:val="1"/>
    <w:next w:val="176"/>
    <w:qFormat/>
    <w:uiPriority w:val="34"/>
    <w:pPr>
      <w:ind w:left="0" w:leftChars="0" w:firstLine="420" w:firstLineChars="200"/>
    </w:pPr>
    <w:rPr>
      <w:rFonts w:ascii="Calibri" w:hAnsi="Calibri"/>
      <w:szCs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2734</Words>
  <Characters>3320</Characters>
  <Lines>41</Lines>
  <Paragraphs>11</Paragraphs>
  <TotalTime>1</TotalTime>
  <ScaleCrop>false</ScaleCrop>
  <LinksUpToDate>false</LinksUpToDate>
  <CharactersWithSpaces>3502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2024-02-06T00:44:00Z</dcterms:created>
  <cp:lastPrinted>2020-04-22T00:56:00Z</cp:lastPrinted>
  <dcterms:modified xsi:type="dcterms:W3CDTF">2024-12-05T23:57:45Z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_2015_ms_pID_725343">
    <vt:lpwstr>(3)rT/gvlBFHuHwxSzGCrniRuwPDeO/tug0IiSR6AH2kBL3dGZhoS/D7/Q/xk8ZqxA1fZoNLmg5_x000d_
48aUPB9/Ai0Cx9Mib/hik7UYgpfAZbp/FRuLy1EUor7jAtgL2K3SpmFHIVLzVz7KZ4qF1V7n_x000d_
akGiVwLg8EEyOf+ilVIbWJe686vBd3bWJXJ2o6uWrcf5UknMmJAJ38wOajVyFfllkfkSswk3_x000d_
q4uMRjx0R3L03eYNwu</vt:lpwstr>
  </property>
  <property fmtid="{D5CDD505-2E9C-101B-9397-08002B2CF9AE}" pid="4" name="_2015_ms_pID_7253431">
    <vt:lpwstr>8333yZQkuD7ry8nzd1x13e+wy0is0wzSa4rl5Xmbwvfc8WDX7dDZwK_x000d_
vwHj8rdIYCE2rEKrC/DeXAEJzjli9hublkSwJ6cZhTgseIerXKcUiDvkkHcblQmBf7n13UaF_x000d_
xj5WLoxRWReve+g+E0VKOkggwsstJo16T72PcCNdisDW6Dxii2D6LrbeDKT10jeWXPzLHMSE_x000d_
n2pfplJVOZylYWzHH9LpWSGjiKbHz114FQQt</vt:lpwstr>
  </property>
  <property fmtid="{D5CDD505-2E9C-101B-9397-08002B2CF9AE}" pid="5" name="_2015_ms_pID_7253432">
    <vt:lpwstr>CA==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1658730050</vt:lpwstr>
  </property>
  <property fmtid="{D5CDD505-2E9C-101B-9397-08002B2CF9AE}" pid="10" name="ICV">
    <vt:lpwstr>D8FA000FBCFC4117ACB9EB5DE8E323D4</vt:lpwstr>
  </property>
  <property fmtid="{D5CDD505-2E9C-101B-9397-08002B2CF9AE}" pid="11" name="MTWinEqns">
    <vt:bool>true</vt:bool>
  </property>
</Properties>
</file>