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34ED5">
      <w:pPr>
        <w:rPr>
          <w:rFonts w:hint="eastAsia" w:ascii="黑体" w:hAnsi="黑体" w:eastAsia="黑体"/>
          <w:sz w:val="32"/>
          <w:szCs w:val="32"/>
        </w:rPr>
      </w:pPr>
    </w:p>
    <w:p w14:paraId="20144661">
      <w:pPr>
        <w:rPr>
          <w:rFonts w:hint="eastAsia" w:ascii="黑体" w:hAnsi="黑体" w:eastAsia="黑体"/>
          <w:sz w:val="32"/>
          <w:szCs w:val="32"/>
        </w:rPr>
      </w:pPr>
    </w:p>
    <w:p w14:paraId="44DCBA99">
      <w:pPr>
        <w:rPr>
          <w:rFonts w:hint="eastAsia" w:ascii="黑体" w:hAnsi="黑体" w:eastAsia="黑体"/>
          <w:sz w:val="32"/>
          <w:szCs w:val="32"/>
        </w:rPr>
      </w:pPr>
    </w:p>
    <w:p w14:paraId="62EF64BC">
      <w:pPr>
        <w:rPr>
          <w:rFonts w:hint="eastAsia" w:ascii="黑体" w:hAnsi="黑体" w:eastAsia="黑体"/>
          <w:sz w:val="32"/>
          <w:szCs w:val="32"/>
        </w:rPr>
      </w:pPr>
    </w:p>
    <w:p w14:paraId="14F86262">
      <w:pPr>
        <w:jc w:val="center"/>
        <w:rPr>
          <w:rFonts w:hint="eastAsia" w:ascii="黑体" w:hAnsi="黑体" w:eastAsia="黑体"/>
          <w:sz w:val="32"/>
          <w:szCs w:val="32"/>
        </w:rPr>
      </w:pPr>
      <w:r>
        <w:rPr>
          <w:rFonts w:hint="eastAsia" w:ascii="黑体" w:hAnsi="黑体" w:eastAsia="黑体"/>
          <w:sz w:val="32"/>
          <w:szCs w:val="32"/>
        </w:rPr>
        <w:t>中国化工节能技术协</w:t>
      </w:r>
      <w:r>
        <w:rPr>
          <w:rFonts w:ascii="黑体" w:hAnsi="黑体" w:eastAsia="黑体"/>
          <w:sz w:val="32"/>
          <w:szCs w:val="32"/>
        </w:rPr>
        <w:t>会团体标准</w:t>
      </w:r>
    </w:p>
    <w:p w14:paraId="17E2F42A">
      <w:pPr>
        <w:jc w:val="center"/>
        <w:rPr>
          <w:rFonts w:hint="eastAsia" w:ascii="黑体" w:hAnsi="黑体" w:eastAsia="黑体"/>
          <w:sz w:val="32"/>
          <w:szCs w:val="32"/>
        </w:rPr>
      </w:pPr>
      <w:r>
        <w:rPr>
          <w:rFonts w:hint="eastAsia" w:ascii="黑体" w:hAnsi="黑体" w:eastAsia="黑体"/>
          <w:sz w:val="32"/>
          <w:szCs w:val="32"/>
        </w:rPr>
        <w:t>《</w:t>
      </w:r>
      <w:r>
        <w:rPr>
          <w:rFonts w:hint="eastAsia" w:ascii="黑体" w:hAnsi="黑体" w:eastAsia="黑体" w:cs="Times New Roman"/>
          <w:sz w:val="32"/>
          <w:szCs w:val="32"/>
        </w:rPr>
        <w:t>炼油行业碳捕集项目评价指南</w:t>
      </w:r>
      <w:r>
        <w:rPr>
          <w:rFonts w:hint="eastAsia" w:ascii="黑体" w:hAnsi="黑体" w:eastAsia="黑体"/>
          <w:sz w:val="32"/>
          <w:szCs w:val="32"/>
        </w:rPr>
        <w:t>》</w:t>
      </w:r>
    </w:p>
    <w:p w14:paraId="78BDA953">
      <w:pPr>
        <w:jc w:val="center"/>
        <w:rPr>
          <w:rFonts w:hint="eastAsia" w:ascii="黑体" w:hAnsi="黑体" w:eastAsia="黑体"/>
          <w:sz w:val="32"/>
          <w:szCs w:val="32"/>
        </w:rPr>
      </w:pPr>
      <w:r>
        <w:rPr>
          <w:rFonts w:hint="eastAsia" w:ascii="黑体" w:hAnsi="黑体" w:eastAsia="黑体"/>
          <w:sz w:val="32"/>
          <w:szCs w:val="32"/>
        </w:rPr>
        <w:t>（报批稿）</w:t>
      </w:r>
    </w:p>
    <w:p w14:paraId="1F15CC97">
      <w:pPr>
        <w:jc w:val="center"/>
        <w:rPr>
          <w:rFonts w:hint="eastAsia" w:ascii="黑体" w:hAnsi="黑体" w:eastAsia="黑体"/>
          <w:sz w:val="32"/>
          <w:szCs w:val="32"/>
        </w:rPr>
      </w:pPr>
    </w:p>
    <w:p w14:paraId="22568503">
      <w:pPr>
        <w:jc w:val="center"/>
        <w:rPr>
          <w:rFonts w:hint="eastAsia" w:ascii="黑体" w:hAnsi="黑体" w:eastAsia="黑体"/>
          <w:sz w:val="32"/>
          <w:szCs w:val="32"/>
        </w:rPr>
      </w:pPr>
    </w:p>
    <w:p w14:paraId="6C399ADB">
      <w:pPr>
        <w:jc w:val="center"/>
        <w:rPr>
          <w:rFonts w:hint="eastAsia" w:ascii="黑体" w:hAnsi="黑体" w:eastAsia="黑体"/>
          <w:sz w:val="32"/>
          <w:szCs w:val="32"/>
        </w:rPr>
      </w:pPr>
    </w:p>
    <w:p w14:paraId="78F6AA6F">
      <w:pPr>
        <w:jc w:val="center"/>
        <w:rPr>
          <w:rFonts w:hint="eastAsia" w:ascii="黑体" w:hAnsi="黑体" w:eastAsia="黑体"/>
          <w:sz w:val="32"/>
          <w:szCs w:val="32"/>
        </w:rPr>
      </w:pPr>
      <w:r>
        <w:rPr>
          <w:rFonts w:hint="eastAsia" w:ascii="黑体" w:hAnsi="黑体" w:eastAsia="黑体"/>
          <w:sz w:val="32"/>
          <w:szCs w:val="32"/>
        </w:rPr>
        <w:t>编制说明</w:t>
      </w:r>
    </w:p>
    <w:p w14:paraId="29F54D4D">
      <w:pPr>
        <w:jc w:val="center"/>
        <w:rPr>
          <w:rFonts w:hint="eastAsia" w:ascii="黑体" w:hAnsi="黑体" w:eastAsia="黑体"/>
          <w:sz w:val="32"/>
          <w:szCs w:val="32"/>
        </w:rPr>
      </w:pPr>
    </w:p>
    <w:p w14:paraId="42A348E2">
      <w:pPr>
        <w:jc w:val="center"/>
        <w:rPr>
          <w:rFonts w:hint="eastAsia" w:ascii="黑体" w:hAnsi="黑体" w:eastAsia="黑体"/>
          <w:sz w:val="32"/>
          <w:szCs w:val="32"/>
        </w:rPr>
      </w:pPr>
    </w:p>
    <w:p w14:paraId="0D2FCBA3">
      <w:pPr>
        <w:jc w:val="center"/>
        <w:rPr>
          <w:rFonts w:hint="eastAsia" w:ascii="黑体" w:hAnsi="黑体" w:eastAsia="黑体"/>
          <w:sz w:val="32"/>
          <w:szCs w:val="32"/>
        </w:rPr>
      </w:pPr>
    </w:p>
    <w:p w14:paraId="7DA3F544">
      <w:pPr>
        <w:jc w:val="center"/>
        <w:rPr>
          <w:rFonts w:hint="eastAsia" w:ascii="黑体" w:hAnsi="黑体" w:eastAsia="黑体"/>
          <w:sz w:val="32"/>
          <w:szCs w:val="32"/>
        </w:rPr>
      </w:pPr>
    </w:p>
    <w:p w14:paraId="160535BB">
      <w:pPr>
        <w:jc w:val="center"/>
        <w:rPr>
          <w:rFonts w:hint="eastAsia" w:ascii="黑体" w:hAnsi="黑体" w:eastAsia="黑体"/>
          <w:sz w:val="32"/>
          <w:szCs w:val="32"/>
        </w:rPr>
      </w:pPr>
    </w:p>
    <w:p w14:paraId="60EAFC81">
      <w:pPr>
        <w:jc w:val="center"/>
        <w:rPr>
          <w:rFonts w:hint="eastAsia" w:ascii="黑体" w:hAnsi="黑体" w:eastAsia="黑体"/>
          <w:sz w:val="32"/>
          <w:szCs w:val="32"/>
        </w:rPr>
      </w:pPr>
    </w:p>
    <w:p w14:paraId="31E5DC32">
      <w:pPr>
        <w:jc w:val="center"/>
        <w:rPr>
          <w:rFonts w:hint="eastAsia" w:ascii="黑体" w:hAnsi="黑体" w:eastAsia="黑体"/>
          <w:sz w:val="32"/>
          <w:szCs w:val="32"/>
        </w:rPr>
      </w:pPr>
    </w:p>
    <w:p w14:paraId="5A3D4341">
      <w:pPr>
        <w:jc w:val="center"/>
        <w:rPr>
          <w:rFonts w:hint="eastAsia" w:ascii="黑体" w:hAnsi="黑体" w:eastAsia="黑体"/>
          <w:sz w:val="32"/>
          <w:szCs w:val="32"/>
        </w:rPr>
      </w:pPr>
      <w:r>
        <w:rPr>
          <w:rFonts w:hint="eastAsia" w:ascii="黑体" w:hAnsi="黑体" w:eastAsia="黑体"/>
          <w:sz w:val="32"/>
          <w:szCs w:val="32"/>
        </w:rPr>
        <w:t>《</w:t>
      </w:r>
      <w:r>
        <w:rPr>
          <w:rFonts w:hint="eastAsia" w:ascii="黑体" w:hAnsi="黑体" w:eastAsia="黑体" w:cs="Times New Roman"/>
          <w:sz w:val="32"/>
          <w:szCs w:val="32"/>
        </w:rPr>
        <w:t>炼油行业碳捕集项目评价指南</w:t>
      </w:r>
      <w:r>
        <w:rPr>
          <w:rFonts w:hint="eastAsia" w:ascii="黑体" w:hAnsi="黑体" w:eastAsia="黑体"/>
          <w:sz w:val="32"/>
          <w:szCs w:val="32"/>
        </w:rPr>
        <w:t>》编制组</w:t>
      </w:r>
    </w:p>
    <w:p w14:paraId="7B49ED53">
      <w:pPr>
        <w:jc w:val="center"/>
        <w:rPr>
          <w:rFonts w:hint="eastAsia" w:ascii="黑体" w:hAnsi="黑体" w:eastAsia="黑体"/>
          <w:sz w:val="32"/>
          <w:szCs w:val="32"/>
        </w:rPr>
      </w:pPr>
    </w:p>
    <w:p w14:paraId="5E228BC0">
      <w:pPr>
        <w:jc w:val="center"/>
        <w:rPr>
          <w:rFonts w:hint="eastAsia" w:ascii="黑体" w:hAnsi="黑体" w:eastAsia="黑体"/>
          <w:sz w:val="32"/>
          <w:szCs w:val="32"/>
        </w:rPr>
      </w:pPr>
      <w:r>
        <w:rPr>
          <w:rFonts w:hint="eastAsia" w:ascii="黑体" w:hAnsi="黑体" w:eastAsia="黑体"/>
          <w:sz w:val="32"/>
          <w:szCs w:val="32"/>
        </w:rPr>
        <w:t>2</w:t>
      </w:r>
      <w:r>
        <w:rPr>
          <w:rFonts w:ascii="黑体" w:hAnsi="黑体" w:eastAsia="黑体"/>
          <w:sz w:val="32"/>
          <w:szCs w:val="32"/>
        </w:rPr>
        <w:t>0</w:t>
      </w:r>
      <w:r>
        <w:rPr>
          <w:rFonts w:hint="eastAsia" w:ascii="黑体" w:hAnsi="黑体" w:eastAsia="黑体"/>
          <w:sz w:val="32"/>
          <w:szCs w:val="32"/>
        </w:rPr>
        <w:t>24年12月</w:t>
      </w:r>
    </w:p>
    <w:p w14:paraId="1FBB4269">
      <w:pPr>
        <w:jc w:val="center"/>
        <w:rPr>
          <w:rFonts w:hint="eastAsia" w:ascii="黑体" w:hAnsi="黑体" w:eastAsia="黑体"/>
          <w:sz w:val="32"/>
          <w:szCs w:val="32"/>
        </w:rPr>
        <w:sectPr>
          <w:footerReference r:id="rId3" w:type="default"/>
          <w:pgSz w:w="11906" w:h="16838"/>
          <w:pgMar w:top="1440" w:right="1800" w:bottom="1440" w:left="1800" w:header="851" w:footer="992" w:gutter="0"/>
          <w:pgNumType w:fmt="upperRoman" w:start="1"/>
          <w:cols w:space="425" w:num="1"/>
          <w:docGrid w:type="lines" w:linePitch="312" w:charSpace="0"/>
        </w:sectPr>
      </w:pPr>
    </w:p>
    <w:sdt>
      <w:sdtPr>
        <w:rPr>
          <w:sz w:val="36"/>
          <w:szCs w:val="36"/>
          <w:lang w:val="zh-CN"/>
        </w:rPr>
        <w:id w:val="-1497645373"/>
        <w:docPartObj>
          <w:docPartGallery w:val="Table of Contents"/>
          <w:docPartUnique/>
        </w:docPartObj>
      </w:sdtPr>
      <w:sdtEndPr>
        <w:rPr>
          <w:rFonts w:ascii="Times New Roman" w:hAnsi="Times New Roman" w:eastAsia="宋体" w:cs="Times New Roman"/>
          <w:b/>
          <w:bCs/>
          <w:sz w:val="21"/>
          <w:szCs w:val="22"/>
          <w:lang w:val="zh-CN"/>
        </w:rPr>
      </w:sdtEndPr>
      <w:sdtContent>
        <w:p w14:paraId="490FB0B2">
          <w:pPr>
            <w:snapToGrid w:val="0"/>
            <w:spacing w:line="360" w:lineRule="auto"/>
            <w:jc w:val="center"/>
            <w:rPr>
              <w:rFonts w:hint="eastAsia"/>
              <w:sz w:val="36"/>
              <w:szCs w:val="36"/>
              <w:lang w:val="zh-CN"/>
            </w:rPr>
          </w:pPr>
        </w:p>
        <w:p w14:paraId="79FA72E7">
          <w:pPr>
            <w:snapToGrid w:val="0"/>
            <w:spacing w:line="360" w:lineRule="auto"/>
            <w:jc w:val="center"/>
            <w:rPr>
              <w:rFonts w:ascii="Times New Roman" w:hAnsi="Times New Roman" w:eastAsia="宋体" w:cs="Times New Roman"/>
              <w:sz w:val="36"/>
              <w:szCs w:val="36"/>
            </w:rPr>
          </w:pPr>
          <w:r>
            <w:rPr>
              <w:rFonts w:ascii="Times New Roman" w:hAnsi="Times New Roman" w:eastAsia="宋体" w:cs="Times New Roman"/>
              <w:sz w:val="36"/>
              <w:szCs w:val="36"/>
            </w:rPr>
            <w:t>目录</w:t>
          </w:r>
        </w:p>
        <w:p w14:paraId="18170ABF">
          <w:pPr>
            <w:snapToGrid w:val="0"/>
            <w:spacing w:line="360" w:lineRule="auto"/>
            <w:jc w:val="center"/>
            <w:rPr>
              <w:rFonts w:ascii="Times New Roman" w:hAnsi="Times New Roman" w:eastAsia="宋体" w:cs="Times New Roman"/>
              <w:sz w:val="36"/>
              <w:szCs w:val="36"/>
            </w:rPr>
          </w:pPr>
        </w:p>
        <w:p w14:paraId="567BC223">
          <w:pPr>
            <w:pStyle w:val="13"/>
            <w:tabs>
              <w:tab w:val="left" w:pos="420"/>
              <w:tab w:val="right" w:leader="dot" w:pos="8296"/>
            </w:tabs>
            <w:rPr>
              <w:rFonts w:hint="eastAsia"/>
              <w14:ligatures w14:val="standardContextual"/>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TOC \o "1-3" \h \z \u </w:instrText>
          </w:r>
          <w:r>
            <w:rPr>
              <w:rFonts w:ascii="Times New Roman" w:hAnsi="Times New Roman" w:eastAsia="宋体" w:cs="Times New Roman"/>
              <w:sz w:val="24"/>
              <w:szCs w:val="24"/>
            </w:rPr>
            <w:fldChar w:fldCharType="separate"/>
          </w:r>
          <w:r>
            <w:fldChar w:fldCharType="begin"/>
          </w:r>
          <w:r>
            <w:instrText xml:space="preserve"> HYPERLINK \l "_Toc184636984" </w:instrText>
          </w:r>
          <w:r>
            <w:fldChar w:fldCharType="separate"/>
          </w:r>
          <w:r>
            <w:rPr>
              <w:rStyle w:val="21"/>
              <w:rFonts w:hint="eastAsia"/>
            </w:rPr>
            <w:t>1</w:t>
          </w:r>
          <w:r>
            <w:rPr>
              <w:rFonts w:hint="eastAsia"/>
              <w14:ligatures w14:val="standardContextual"/>
            </w:rPr>
            <w:tab/>
          </w:r>
          <w:r>
            <w:rPr>
              <w:rStyle w:val="21"/>
              <w:rFonts w:hint="eastAsia"/>
            </w:rPr>
            <w:t>项目背景</w:t>
          </w:r>
          <w:r>
            <w:rPr>
              <w:rFonts w:hint="eastAsia"/>
            </w:rPr>
            <w:tab/>
          </w:r>
          <w:r>
            <w:rPr>
              <w:rFonts w:hint="eastAsia"/>
            </w:rPr>
            <w:fldChar w:fldCharType="begin"/>
          </w:r>
          <w:r>
            <w:rPr>
              <w:rFonts w:hint="eastAsia"/>
            </w:rPr>
            <w:instrText xml:space="preserve"> </w:instrText>
          </w:r>
          <w:r>
            <w:instrText xml:space="preserve">PAGEREF _Toc184636984 \h</w:instrText>
          </w:r>
          <w:r>
            <w:rPr>
              <w:rFonts w:hint="eastAsia"/>
            </w:rPr>
            <w:instrText xml:space="preserve"> </w:instrText>
          </w:r>
          <w:r>
            <w:rPr>
              <w:rFonts w:hint="eastAsia"/>
            </w:rPr>
            <w:fldChar w:fldCharType="separate"/>
          </w:r>
          <w:r>
            <w:rPr>
              <w:rFonts w:hint="eastAsia"/>
            </w:rPr>
            <w:t>2</w:t>
          </w:r>
          <w:r>
            <w:rPr>
              <w:rFonts w:hint="eastAsia"/>
            </w:rPr>
            <w:fldChar w:fldCharType="end"/>
          </w:r>
          <w:r>
            <w:rPr>
              <w:rFonts w:hint="eastAsia"/>
            </w:rPr>
            <w:fldChar w:fldCharType="end"/>
          </w:r>
        </w:p>
        <w:p w14:paraId="64D3A090">
          <w:pPr>
            <w:pStyle w:val="14"/>
            <w:tabs>
              <w:tab w:val="left" w:pos="1050"/>
              <w:tab w:val="right" w:leader="dot" w:pos="8296"/>
            </w:tabs>
            <w:rPr>
              <w:rFonts w:hint="eastAsia"/>
              <w14:ligatures w14:val="standardContextual"/>
            </w:rPr>
          </w:pPr>
          <w:r>
            <w:fldChar w:fldCharType="begin"/>
          </w:r>
          <w:r>
            <w:instrText xml:space="preserve"> HYPERLINK \l "_Toc184636985" </w:instrText>
          </w:r>
          <w:r>
            <w:fldChar w:fldCharType="separate"/>
          </w:r>
          <w:r>
            <w:rPr>
              <w:rStyle w:val="21"/>
              <w:rFonts w:hint="eastAsia"/>
            </w:rPr>
            <w:t>1.1</w:t>
          </w:r>
          <w:r>
            <w:rPr>
              <w:rFonts w:hint="eastAsia"/>
              <w14:ligatures w14:val="standardContextual"/>
            </w:rPr>
            <w:tab/>
          </w:r>
          <w:r>
            <w:rPr>
              <w:rStyle w:val="21"/>
              <w:rFonts w:hint="eastAsia"/>
            </w:rPr>
            <w:t>任务来源</w:t>
          </w:r>
          <w:r>
            <w:rPr>
              <w:rFonts w:hint="eastAsia"/>
            </w:rPr>
            <w:tab/>
          </w:r>
          <w:r>
            <w:rPr>
              <w:rFonts w:hint="eastAsia"/>
            </w:rPr>
            <w:fldChar w:fldCharType="begin"/>
          </w:r>
          <w:r>
            <w:rPr>
              <w:rFonts w:hint="eastAsia"/>
            </w:rPr>
            <w:instrText xml:space="preserve"> </w:instrText>
          </w:r>
          <w:r>
            <w:instrText xml:space="preserve">PAGEREF _Toc184636985 \h</w:instrText>
          </w:r>
          <w:r>
            <w:rPr>
              <w:rFonts w:hint="eastAsia"/>
            </w:rPr>
            <w:instrText xml:space="preserve"> </w:instrText>
          </w:r>
          <w:r>
            <w:rPr>
              <w:rFonts w:hint="eastAsia"/>
            </w:rPr>
            <w:fldChar w:fldCharType="separate"/>
          </w:r>
          <w:r>
            <w:rPr>
              <w:rFonts w:hint="eastAsia"/>
            </w:rPr>
            <w:t>2</w:t>
          </w:r>
          <w:r>
            <w:rPr>
              <w:rFonts w:hint="eastAsia"/>
            </w:rPr>
            <w:fldChar w:fldCharType="end"/>
          </w:r>
          <w:r>
            <w:rPr>
              <w:rFonts w:hint="eastAsia"/>
            </w:rPr>
            <w:fldChar w:fldCharType="end"/>
          </w:r>
        </w:p>
        <w:p w14:paraId="25C3AB13">
          <w:pPr>
            <w:pStyle w:val="14"/>
            <w:tabs>
              <w:tab w:val="left" w:pos="1050"/>
              <w:tab w:val="right" w:leader="dot" w:pos="8296"/>
            </w:tabs>
            <w:rPr>
              <w:rFonts w:hint="eastAsia"/>
              <w14:ligatures w14:val="standardContextual"/>
            </w:rPr>
          </w:pPr>
          <w:r>
            <w:fldChar w:fldCharType="begin"/>
          </w:r>
          <w:r>
            <w:instrText xml:space="preserve"> HYPERLINK \l "_Toc184636986" </w:instrText>
          </w:r>
          <w:r>
            <w:fldChar w:fldCharType="separate"/>
          </w:r>
          <w:r>
            <w:rPr>
              <w:rStyle w:val="21"/>
              <w:rFonts w:hint="eastAsia"/>
            </w:rPr>
            <w:t>1.2</w:t>
          </w:r>
          <w:r>
            <w:rPr>
              <w:rFonts w:hint="eastAsia"/>
              <w14:ligatures w14:val="standardContextual"/>
            </w:rPr>
            <w:tab/>
          </w:r>
          <w:r>
            <w:rPr>
              <w:rStyle w:val="21"/>
              <w:rFonts w:hint="eastAsia"/>
            </w:rPr>
            <w:t>主要工作过程</w:t>
          </w:r>
          <w:r>
            <w:rPr>
              <w:rFonts w:hint="eastAsia"/>
            </w:rPr>
            <w:tab/>
          </w:r>
          <w:r>
            <w:rPr>
              <w:rFonts w:hint="eastAsia"/>
            </w:rPr>
            <w:fldChar w:fldCharType="begin"/>
          </w:r>
          <w:r>
            <w:rPr>
              <w:rFonts w:hint="eastAsia"/>
            </w:rPr>
            <w:instrText xml:space="preserve"> </w:instrText>
          </w:r>
          <w:r>
            <w:instrText xml:space="preserve">PAGEREF _Toc184636986 \h</w:instrText>
          </w:r>
          <w:r>
            <w:rPr>
              <w:rFonts w:hint="eastAsia"/>
            </w:rPr>
            <w:instrText xml:space="preserve"> </w:instrText>
          </w:r>
          <w:r>
            <w:rPr>
              <w:rFonts w:hint="eastAsia"/>
            </w:rPr>
            <w:fldChar w:fldCharType="separate"/>
          </w:r>
          <w:r>
            <w:rPr>
              <w:rFonts w:hint="eastAsia"/>
            </w:rPr>
            <w:t>2</w:t>
          </w:r>
          <w:r>
            <w:rPr>
              <w:rFonts w:hint="eastAsia"/>
            </w:rPr>
            <w:fldChar w:fldCharType="end"/>
          </w:r>
          <w:r>
            <w:rPr>
              <w:rFonts w:hint="eastAsia"/>
            </w:rPr>
            <w:fldChar w:fldCharType="end"/>
          </w:r>
        </w:p>
        <w:p w14:paraId="5E86CDEB">
          <w:pPr>
            <w:pStyle w:val="13"/>
            <w:tabs>
              <w:tab w:val="left" w:pos="420"/>
              <w:tab w:val="right" w:leader="dot" w:pos="8296"/>
            </w:tabs>
            <w:rPr>
              <w:rFonts w:hint="eastAsia"/>
              <w14:ligatures w14:val="standardContextual"/>
            </w:rPr>
          </w:pPr>
          <w:r>
            <w:fldChar w:fldCharType="begin"/>
          </w:r>
          <w:r>
            <w:instrText xml:space="preserve"> HYPERLINK \l "_Toc184636987" </w:instrText>
          </w:r>
          <w:r>
            <w:fldChar w:fldCharType="separate"/>
          </w:r>
          <w:r>
            <w:rPr>
              <w:rStyle w:val="21"/>
              <w:rFonts w:hint="eastAsia"/>
            </w:rPr>
            <w:t>2</w:t>
          </w:r>
          <w:r>
            <w:rPr>
              <w:rFonts w:hint="eastAsia"/>
              <w14:ligatures w14:val="standardContextual"/>
            </w:rPr>
            <w:tab/>
          </w:r>
          <w:r>
            <w:rPr>
              <w:rStyle w:val="21"/>
              <w:rFonts w:hint="eastAsia"/>
            </w:rPr>
            <w:t>标准制定的必要性和意义</w:t>
          </w:r>
          <w:r>
            <w:rPr>
              <w:rFonts w:hint="eastAsia"/>
            </w:rPr>
            <w:tab/>
          </w:r>
          <w:r>
            <w:rPr>
              <w:rFonts w:hint="eastAsia"/>
            </w:rPr>
            <w:fldChar w:fldCharType="begin"/>
          </w:r>
          <w:r>
            <w:rPr>
              <w:rFonts w:hint="eastAsia"/>
            </w:rPr>
            <w:instrText xml:space="preserve"> </w:instrText>
          </w:r>
          <w:r>
            <w:instrText xml:space="preserve">PAGEREF _Toc184636987 \h</w:instrText>
          </w:r>
          <w:r>
            <w:rPr>
              <w:rFonts w:hint="eastAsia"/>
            </w:rPr>
            <w:instrText xml:space="preserve"> </w:instrText>
          </w:r>
          <w:r>
            <w:rPr>
              <w:rFonts w:hint="eastAsia"/>
            </w:rPr>
            <w:fldChar w:fldCharType="separate"/>
          </w:r>
          <w:r>
            <w:rPr>
              <w:rFonts w:hint="eastAsia"/>
            </w:rPr>
            <w:t>3</w:t>
          </w:r>
          <w:r>
            <w:rPr>
              <w:rFonts w:hint="eastAsia"/>
            </w:rPr>
            <w:fldChar w:fldCharType="end"/>
          </w:r>
          <w:r>
            <w:rPr>
              <w:rFonts w:hint="eastAsia"/>
            </w:rPr>
            <w:fldChar w:fldCharType="end"/>
          </w:r>
        </w:p>
        <w:p w14:paraId="74969E4A">
          <w:pPr>
            <w:pStyle w:val="13"/>
            <w:tabs>
              <w:tab w:val="left" w:pos="420"/>
              <w:tab w:val="right" w:leader="dot" w:pos="8296"/>
            </w:tabs>
            <w:rPr>
              <w:rFonts w:hint="eastAsia"/>
              <w14:ligatures w14:val="standardContextual"/>
            </w:rPr>
          </w:pPr>
          <w:r>
            <w:fldChar w:fldCharType="begin"/>
          </w:r>
          <w:r>
            <w:instrText xml:space="preserve"> HYPERLINK \l "_Toc184636988" </w:instrText>
          </w:r>
          <w:r>
            <w:fldChar w:fldCharType="separate"/>
          </w:r>
          <w:r>
            <w:rPr>
              <w:rStyle w:val="21"/>
              <w:rFonts w:hint="eastAsia"/>
            </w:rPr>
            <w:t>3</w:t>
          </w:r>
          <w:r>
            <w:rPr>
              <w:rFonts w:hint="eastAsia"/>
              <w14:ligatures w14:val="standardContextual"/>
            </w:rPr>
            <w:tab/>
          </w:r>
          <w:r>
            <w:rPr>
              <w:rStyle w:val="21"/>
              <w:rFonts w:hint="eastAsia"/>
            </w:rPr>
            <w:t>行业概况</w:t>
          </w:r>
          <w:r>
            <w:rPr>
              <w:rFonts w:hint="eastAsia"/>
            </w:rPr>
            <w:tab/>
          </w:r>
          <w:r>
            <w:rPr>
              <w:rFonts w:hint="eastAsia"/>
            </w:rPr>
            <w:fldChar w:fldCharType="begin"/>
          </w:r>
          <w:r>
            <w:rPr>
              <w:rFonts w:hint="eastAsia"/>
            </w:rPr>
            <w:instrText xml:space="preserve"> </w:instrText>
          </w:r>
          <w:r>
            <w:instrText xml:space="preserve">PAGEREF _Toc184636988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14:paraId="514368A1">
          <w:pPr>
            <w:pStyle w:val="14"/>
            <w:tabs>
              <w:tab w:val="left" w:pos="1050"/>
              <w:tab w:val="right" w:leader="dot" w:pos="8296"/>
            </w:tabs>
            <w:rPr>
              <w:rFonts w:hint="eastAsia"/>
            </w:rPr>
          </w:pPr>
          <w:r>
            <w:fldChar w:fldCharType="begin"/>
          </w:r>
          <w:r>
            <w:instrText xml:space="preserve"> HYPERLINK \l "_Toc184636989" </w:instrText>
          </w:r>
          <w:r>
            <w:fldChar w:fldCharType="separate"/>
          </w:r>
          <w:r>
            <w:rPr>
              <w:rFonts w:hint="eastAsia"/>
            </w:rPr>
            <w:t>3.1</w:t>
          </w:r>
          <w:r>
            <w:rPr>
              <w:rFonts w:hint="eastAsia"/>
            </w:rPr>
            <w:tab/>
          </w:r>
          <w:r>
            <w:rPr>
              <w:rFonts w:hint="eastAsia"/>
            </w:rPr>
            <w:t>炼油行业发展现状</w:t>
          </w:r>
          <w:r>
            <w:rPr>
              <w:rFonts w:hint="eastAsia"/>
            </w:rPr>
            <w:tab/>
          </w:r>
          <w:r>
            <w:rPr>
              <w:rFonts w:hint="eastAsia"/>
            </w:rPr>
            <w:fldChar w:fldCharType="begin"/>
          </w:r>
          <w:r>
            <w:rPr>
              <w:rFonts w:hint="eastAsia"/>
            </w:rPr>
            <w:instrText xml:space="preserve"> </w:instrText>
          </w:r>
          <w:r>
            <w:instrText xml:space="preserve">PAGEREF _Toc184636989 \h</w:instrText>
          </w:r>
          <w:r>
            <w:rPr>
              <w:rFonts w:hint="eastAsia"/>
            </w:rPr>
            <w:instrText xml:space="preserve"> </w:instrText>
          </w:r>
          <w:r>
            <w:rPr>
              <w:rFonts w:hint="eastAsia"/>
            </w:rPr>
            <w:fldChar w:fldCharType="separate"/>
          </w:r>
          <w:r>
            <w:rPr>
              <w:rFonts w:hint="eastAsia"/>
            </w:rPr>
            <w:t>4</w:t>
          </w:r>
          <w:r>
            <w:rPr>
              <w:rFonts w:hint="eastAsia"/>
            </w:rPr>
            <w:fldChar w:fldCharType="end"/>
          </w:r>
          <w:r>
            <w:rPr>
              <w:rFonts w:hint="eastAsia"/>
            </w:rPr>
            <w:fldChar w:fldCharType="end"/>
          </w:r>
        </w:p>
        <w:p w14:paraId="2211CA1F">
          <w:pPr>
            <w:pStyle w:val="14"/>
            <w:tabs>
              <w:tab w:val="left" w:pos="1050"/>
              <w:tab w:val="right" w:leader="dot" w:pos="8296"/>
            </w:tabs>
            <w:rPr>
              <w:rFonts w:hint="eastAsia"/>
            </w:rPr>
          </w:pPr>
          <w:r>
            <w:fldChar w:fldCharType="begin"/>
          </w:r>
          <w:r>
            <w:instrText xml:space="preserve"> HYPERLINK \l "_Toc184636990" </w:instrText>
          </w:r>
          <w:r>
            <w:fldChar w:fldCharType="separate"/>
          </w:r>
          <w:r>
            <w:rPr>
              <w:rFonts w:hint="eastAsia"/>
            </w:rPr>
            <w:t>3.2</w:t>
          </w:r>
          <w:r>
            <w:rPr>
              <w:rFonts w:hint="eastAsia"/>
            </w:rPr>
            <w:tab/>
          </w:r>
          <w:r>
            <w:rPr>
              <w:rFonts w:hint="eastAsia"/>
            </w:rPr>
            <w:t>炼油行业碳排放与碳捕集现状</w:t>
          </w:r>
          <w:r>
            <w:rPr>
              <w:rFonts w:hint="eastAsia"/>
            </w:rPr>
            <w:tab/>
          </w:r>
          <w:r>
            <w:rPr>
              <w:rFonts w:hint="eastAsia"/>
            </w:rPr>
            <w:fldChar w:fldCharType="begin"/>
          </w:r>
          <w:r>
            <w:rPr>
              <w:rFonts w:hint="eastAsia"/>
            </w:rPr>
            <w:instrText xml:space="preserve"> </w:instrText>
          </w:r>
          <w:r>
            <w:instrText xml:space="preserve">PAGEREF _Toc184636990 \h</w:instrText>
          </w:r>
          <w:r>
            <w:rPr>
              <w:rFonts w:hint="eastAsia"/>
            </w:rPr>
            <w:instrText xml:space="preserve"> </w:instrText>
          </w:r>
          <w:r>
            <w:rPr>
              <w:rFonts w:hint="eastAsia"/>
            </w:rPr>
            <w:fldChar w:fldCharType="separate"/>
          </w:r>
          <w:r>
            <w:rPr>
              <w:rFonts w:hint="eastAsia"/>
            </w:rPr>
            <w:t>6</w:t>
          </w:r>
          <w:r>
            <w:rPr>
              <w:rFonts w:hint="eastAsia"/>
            </w:rPr>
            <w:fldChar w:fldCharType="end"/>
          </w:r>
          <w:r>
            <w:rPr>
              <w:rFonts w:hint="eastAsia"/>
            </w:rPr>
            <w:fldChar w:fldCharType="end"/>
          </w:r>
        </w:p>
        <w:p w14:paraId="1F83D4BD">
          <w:pPr>
            <w:pStyle w:val="14"/>
            <w:tabs>
              <w:tab w:val="left" w:pos="1050"/>
              <w:tab w:val="right" w:leader="dot" w:pos="8296"/>
            </w:tabs>
            <w:rPr>
              <w:rFonts w:hint="eastAsia"/>
            </w:rPr>
          </w:pPr>
          <w:r>
            <w:fldChar w:fldCharType="begin"/>
          </w:r>
          <w:r>
            <w:instrText xml:space="preserve"> HYPERLINK \l "_Toc184636991" </w:instrText>
          </w:r>
          <w:r>
            <w:fldChar w:fldCharType="separate"/>
          </w:r>
          <w:r>
            <w:rPr>
              <w:rFonts w:hint="eastAsia"/>
            </w:rPr>
            <w:t>3.2.1</w:t>
          </w:r>
          <w:r>
            <w:rPr>
              <w:rFonts w:hint="eastAsia"/>
            </w:rPr>
            <w:tab/>
          </w:r>
          <w:r>
            <w:rPr>
              <w:rFonts w:hint="eastAsia"/>
            </w:rPr>
            <w:t>炼油行业典型工艺过程</w:t>
          </w:r>
          <w:r>
            <w:rPr>
              <w:rFonts w:hint="eastAsia"/>
            </w:rPr>
            <w:tab/>
          </w:r>
          <w:r>
            <w:rPr>
              <w:rFonts w:hint="eastAsia"/>
            </w:rPr>
            <w:fldChar w:fldCharType="begin"/>
          </w:r>
          <w:r>
            <w:rPr>
              <w:rFonts w:hint="eastAsia"/>
            </w:rPr>
            <w:instrText xml:space="preserve"> </w:instrText>
          </w:r>
          <w:r>
            <w:instrText xml:space="preserve">PAGEREF _Toc184636991 \h</w:instrText>
          </w:r>
          <w:r>
            <w:rPr>
              <w:rFonts w:hint="eastAsia"/>
            </w:rPr>
            <w:instrText xml:space="preserve"> </w:instrText>
          </w:r>
          <w:r>
            <w:rPr>
              <w:rFonts w:hint="eastAsia"/>
            </w:rPr>
            <w:fldChar w:fldCharType="separate"/>
          </w:r>
          <w:r>
            <w:rPr>
              <w:rFonts w:hint="eastAsia"/>
            </w:rPr>
            <w:t>7</w:t>
          </w:r>
          <w:r>
            <w:rPr>
              <w:rFonts w:hint="eastAsia"/>
            </w:rPr>
            <w:fldChar w:fldCharType="end"/>
          </w:r>
          <w:r>
            <w:rPr>
              <w:rFonts w:hint="eastAsia"/>
            </w:rPr>
            <w:fldChar w:fldCharType="end"/>
          </w:r>
        </w:p>
        <w:p w14:paraId="1F852975">
          <w:pPr>
            <w:pStyle w:val="14"/>
            <w:tabs>
              <w:tab w:val="left" w:pos="1050"/>
              <w:tab w:val="right" w:leader="dot" w:pos="8296"/>
            </w:tabs>
            <w:rPr>
              <w:rFonts w:hint="eastAsia"/>
            </w:rPr>
          </w:pPr>
          <w:r>
            <w:fldChar w:fldCharType="begin"/>
          </w:r>
          <w:r>
            <w:instrText xml:space="preserve"> HYPERLINK \l "_Toc184636992" </w:instrText>
          </w:r>
          <w:r>
            <w:fldChar w:fldCharType="separate"/>
          </w:r>
          <w:r>
            <w:rPr>
              <w:rFonts w:hint="eastAsia"/>
            </w:rPr>
            <w:t>3.2.2</w:t>
          </w:r>
          <w:r>
            <w:rPr>
              <w:rFonts w:hint="eastAsia"/>
            </w:rPr>
            <w:tab/>
          </w:r>
          <w:r>
            <w:rPr>
              <w:rFonts w:hint="eastAsia"/>
            </w:rPr>
            <w:t>炼油行业典型碳捕集技术</w:t>
          </w:r>
          <w:r>
            <w:rPr>
              <w:rFonts w:hint="eastAsia"/>
            </w:rPr>
            <w:tab/>
          </w:r>
          <w:r>
            <w:rPr>
              <w:rFonts w:hint="eastAsia"/>
            </w:rPr>
            <w:fldChar w:fldCharType="begin"/>
          </w:r>
          <w:r>
            <w:rPr>
              <w:rFonts w:hint="eastAsia"/>
            </w:rPr>
            <w:instrText xml:space="preserve"> </w:instrText>
          </w:r>
          <w:r>
            <w:instrText xml:space="preserve">PAGEREF _Toc184636992 \h</w:instrText>
          </w:r>
          <w:r>
            <w:rPr>
              <w:rFonts w:hint="eastAsia"/>
            </w:rPr>
            <w:instrText xml:space="preserve"> </w:instrText>
          </w:r>
          <w:r>
            <w:rPr>
              <w:rFonts w:hint="eastAsia"/>
            </w:rPr>
            <w:fldChar w:fldCharType="separate"/>
          </w:r>
          <w:r>
            <w:rPr>
              <w:rFonts w:hint="eastAsia"/>
            </w:rPr>
            <w:t>14</w:t>
          </w:r>
          <w:r>
            <w:rPr>
              <w:rFonts w:hint="eastAsia"/>
            </w:rPr>
            <w:fldChar w:fldCharType="end"/>
          </w:r>
          <w:r>
            <w:rPr>
              <w:rFonts w:hint="eastAsia"/>
            </w:rPr>
            <w:fldChar w:fldCharType="end"/>
          </w:r>
        </w:p>
        <w:p w14:paraId="52943C54">
          <w:pPr>
            <w:pStyle w:val="13"/>
            <w:tabs>
              <w:tab w:val="left" w:pos="420"/>
              <w:tab w:val="right" w:leader="dot" w:pos="8296"/>
            </w:tabs>
            <w:rPr>
              <w:rFonts w:hint="eastAsia"/>
              <w14:ligatures w14:val="standardContextual"/>
            </w:rPr>
          </w:pPr>
          <w:r>
            <w:fldChar w:fldCharType="begin"/>
          </w:r>
          <w:r>
            <w:instrText xml:space="preserve"> HYPERLINK \l "_Toc184636993" </w:instrText>
          </w:r>
          <w:r>
            <w:fldChar w:fldCharType="separate"/>
          </w:r>
          <w:r>
            <w:rPr>
              <w:rStyle w:val="21"/>
              <w:rFonts w:hint="eastAsia"/>
            </w:rPr>
            <w:t>4</w:t>
          </w:r>
          <w:r>
            <w:rPr>
              <w:rFonts w:hint="eastAsia"/>
              <w14:ligatures w14:val="standardContextual"/>
            </w:rPr>
            <w:tab/>
          </w:r>
          <w:r>
            <w:rPr>
              <w:rStyle w:val="21"/>
              <w:rFonts w:hint="eastAsia"/>
            </w:rPr>
            <w:t>标准制定原则</w:t>
          </w:r>
          <w:r>
            <w:rPr>
              <w:rFonts w:hint="eastAsia"/>
            </w:rPr>
            <w:tab/>
          </w:r>
          <w:r>
            <w:rPr>
              <w:rFonts w:hint="eastAsia"/>
            </w:rPr>
            <w:fldChar w:fldCharType="begin"/>
          </w:r>
          <w:r>
            <w:rPr>
              <w:rFonts w:hint="eastAsia"/>
            </w:rPr>
            <w:instrText xml:space="preserve"> </w:instrText>
          </w:r>
          <w:r>
            <w:instrText xml:space="preserve">PAGEREF _Toc184636993 \h</w:instrText>
          </w:r>
          <w:r>
            <w:rPr>
              <w:rFonts w:hint="eastAsia"/>
            </w:rPr>
            <w:instrText xml:space="preserve"> </w:instrText>
          </w:r>
          <w:r>
            <w:rPr>
              <w:rFonts w:hint="eastAsia"/>
            </w:rPr>
            <w:fldChar w:fldCharType="separate"/>
          </w:r>
          <w:r>
            <w:rPr>
              <w:rFonts w:hint="eastAsia"/>
            </w:rPr>
            <w:t>16</w:t>
          </w:r>
          <w:r>
            <w:rPr>
              <w:rFonts w:hint="eastAsia"/>
            </w:rPr>
            <w:fldChar w:fldCharType="end"/>
          </w:r>
          <w:r>
            <w:rPr>
              <w:rFonts w:hint="eastAsia"/>
            </w:rPr>
            <w:fldChar w:fldCharType="end"/>
          </w:r>
        </w:p>
        <w:p w14:paraId="1BDB3FA7">
          <w:pPr>
            <w:pStyle w:val="13"/>
            <w:tabs>
              <w:tab w:val="left" w:pos="420"/>
              <w:tab w:val="right" w:leader="dot" w:pos="8296"/>
            </w:tabs>
            <w:rPr>
              <w:rFonts w:hint="eastAsia"/>
              <w14:ligatures w14:val="standardContextual"/>
            </w:rPr>
          </w:pPr>
          <w:r>
            <w:fldChar w:fldCharType="begin"/>
          </w:r>
          <w:r>
            <w:instrText xml:space="preserve"> HYPERLINK \l "_Toc184636994" </w:instrText>
          </w:r>
          <w:r>
            <w:fldChar w:fldCharType="separate"/>
          </w:r>
          <w:r>
            <w:rPr>
              <w:rStyle w:val="21"/>
              <w:rFonts w:hint="eastAsia"/>
            </w:rPr>
            <w:t>5</w:t>
          </w:r>
          <w:r>
            <w:rPr>
              <w:rFonts w:hint="eastAsia"/>
              <w14:ligatures w14:val="standardContextual"/>
            </w:rPr>
            <w:tab/>
          </w:r>
          <w:r>
            <w:rPr>
              <w:rStyle w:val="21"/>
              <w:rFonts w:hint="eastAsia"/>
            </w:rPr>
            <w:t>标准主要编制内容和编制说明</w:t>
          </w:r>
          <w:r>
            <w:rPr>
              <w:rFonts w:hint="eastAsia"/>
            </w:rPr>
            <w:tab/>
          </w:r>
          <w:r>
            <w:rPr>
              <w:rFonts w:hint="eastAsia"/>
            </w:rPr>
            <w:fldChar w:fldCharType="begin"/>
          </w:r>
          <w:r>
            <w:rPr>
              <w:rFonts w:hint="eastAsia"/>
            </w:rPr>
            <w:instrText xml:space="preserve"> </w:instrText>
          </w:r>
          <w:r>
            <w:instrText xml:space="preserve">PAGEREF _Toc184636994 \h</w:instrText>
          </w:r>
          <w:r>
            <w:rPr>
              <w:rFonts w:hint="eastAsia"/>
            </w:rPr>
            <w:instrText xml:space="preserve"> </w:instrText>
          </w:r>
          <w:r>
            <w:rPr>
              <w:rFonts w:hint="eastAsia"/>
            </w:rPr>
            <w:fldChar w:fldCharType="separate"/>
          </w:r>
          <w:r>
            <w:rPr>
              <w:rFonts w:hint="eastAsia"/>
            </w:rPr>
            <w:t>16</w:t>
          </w:r>
          <w:r>
            <w:rPr>
              <w:rFonts w:hint="eastAsia"/>
            </w:rPr>
            <w:fldChar w:fldCharType="end"/>
          </w:r>
          <w:r>
            <w:rPr>
              <w:rFonts w:hint="eastAsia"/>
            </w:rPr>
            <w:fldChar w:fldCharType="end"/>
          </w:r>
        </w:p>
        <w:p w14:paraId="4525BB0A">
          <w:pPr>
            <w:pStyle w:val="14"/>
            <w:tabs>
              <w:tab w:val="left" w:pos="1050"/>
              <w:tab w:val="right" w:leader="dot" w:pos="8296"/>
            </w:tabs>
            <w:rPr>
              <w:rFonts w:hint="eastAsia"/>
              <w14:ligatures w14:val="standardContextual"/>
            </w:rPr>
          </w:pPr>
          <w:r>
            <w:fldChar w:fldCharType="begin"/>
          </w:r>
          <w:r>
            <w:instrText xml:space="preserve"> HYPERLINK \l "_Toc184636995" </w:instrText>
          </w:r>
          <w:r>
            <w:fldChar w:fldCharType="separate"/>
          </w:r>
          <w:r>
            <w:rPr>
              <w:rStyle w:val="21"/>
              <w:rFonts w:hint="eastAsia"/>
            </w:rPr>
            <w:t>5.1</w:t>
          </w:r>
          <w:r>
            <w:rPr>
              <w:rFonts w:hint="eastAsia"/>
              <w14:ligatures w14:val="standardContextual"/>
            </w:rPr>
            <w:tab/>
          </w:r>
          <w:r>
            <w:rPr>
              <w:rStyle w:val="21"/>
              <w:rFonts w:hint="eastAsia"/>
            </w:rPr>
            <w:t>范围</w:t>
          </w:r>
          <w:r>
            <w:rPr>
              <w:rFonts w:hint="eastAsia"/>
            </w:rPr>
            <w:tab/>
          </w:r>
          <w:r>
            <w:rPr>
              <w:rFonts w:hint="eastAsia"/>
            </w:rPr>
            <w:fldChar w:fldCharType="begin"/>
          </w:r>
          <w:r>
            <w:rPr>
              <w:rFonts w:hint="eastAsia"/>
            </w:rPr>
            <w:instrText xml:space="preserve"> </w:instrText>
          </w:r>
          <w:r>
            <w:instrText xml:space="preserve">PAGEREF _Toc184636995 \h</w:instrText>
          </w:r>
          <w:r>
            <w:rPr>
              <w:rFonts w:hint="eastAsia"/>
            </w:rPr>
            <w:instrText xml:space="preserve"> </w:instrText>
          </w:r>
          <w:r>
            <w:rPr>
              <w:rFonts w:hint="eastAsia"/>
            </w:rPr>
            <w:fldChar w:fldCharType="separate"/>
          </w:r>
          <w:r>
            <w:rPr>
              <w:rFonts w:hint="eastAsia"/>
            </w:rPr>
            <w:t>16</w:t>
          </w:r>
          <w:r>
            <w:rPr>
              <w:rFonts w:hint="eastAsia"/>
            </w:rPr>
            <w:fldChar w:fldCharType="end"/>
          </w:r>
          <w:r>
            <w:rPr>
              <w:rFonts w:hint="eastAsia"/>
            </w:rPr>
            <w:fldChar w:fldCharType="end"/>
          </w:r>
        </w:p>
        <w:p w14:paraId="53855283">
          <w:pPr>
            <w:pStyle w:val="14"/>
            <w:tabs>
              <w:tab w:val="left" w:pos="1050"/>
              <w:tab w:val="right" w:leader="dot" w:pos="8296"/>
            </w:tabs>
            <w:rPr>
              <w:rFonts w:hint="eastAsia"/>
              <w14:ligatures w14:val="standardContextual"/>
            </w:rPr>
          </w:pPr>
          <w:r>
            <w:fldChar w:fldCharType="begin"/>
          </w:r>
          <w:r>
            <w:instrText xml:space="preserve"> HYPERLINK \l "_Toc184636996" </w:instrText>
          </w:r>
          <w:r>
            <w:fldChar w:fldCharType="separate"/>
          </w:r>
          <w:r>
            <w:rPr>
              <w:rStyle w:val="21"/>
              <w:rFonts w:hint="eastAsia"/>
            </w:rPr>
            <w:t>5.2</w:t>
          </w:r>
          <w:r>
            <w:rPr>
              <w:rFonts w:hint="eastAsia"/>
              <w14:ligatures w14:val="standardContextual"/>
            </w:rPr>
            <w:tab/>
          </w:r>
          <w:r>
            <w:rPr>
              <w:rStyle w:val="21"/>
              <w:rFonts w:hint="eastAsia"/>
            </w:rPr>
            <w:t>术语和定义</w:t>
          </w:r>
          <w:r>
            <w:rPr>
              <w:rFonts w:hint="eastAsia"/>
            </w:rPr>
            <w:tab/>
          </w:r>
          <w:r>
            <w:rPr>
              <w:rFonts w:hint="eastAsia"/>
            </w:rPr>
            <w:fldChar w:fldCharType="begin"/>
          </w:r>
          <w:r>
            <w:rPr>
              <w:rFonts w:hint="eastAsia"/>
            </w:rPr>
            <w:instrText xml:space="preserve"> </w:instrText>
          </w:r>
          <w:r>
            <w:instrText xml:space="preserve">PAGEREF _Toc184636996 \h</w:instrText>
          </w:r>
          <w:r>
            <w:rPr>
              <w:rFonts w:hint="eastAsia"/>
            </w:rPr>
            <w:instrText xml:space="preserve"> </w:instrText>
          </w:r>
          <w:r>
            <w:rPr>
              <w:rFonts w:hint="eastAsia"/>
            </w:rPr>
            <w:fldChar w:fldCharType="separate"/>
          </w:r>
          <w:r>
            <w:rPr>
              <w:rFonts w:hint="eastAsia"/>
            </w:rPr>
            <w:t>16</w:t>
          </w:r>
          <w:r>
            <w:rPr>
              <w:rFonts w:hint="eastAsia"/>
            </w:rPr>
            <w:fldChar w:fldCharType="end"/>
          </w:r>
          <w:r>
            <w:rPr>
              <w:rFonts w:hint="eastAsia"/>
            </w:rPr>
            <w:fldChar w:fldCharType="end"/>
          </w:r>
        </w:p>
        <w:p w14:paraId="3CBB4A4D">
          <w:pPr>
            <w:pStyle w:val="14"/>
            <w:tabs>
              <w:tab w:val="left" w:pos="1050"/>
              <w:tab w:val="right" w:leader="dot" w:pos="8296"/>
            </w:tabs>
            <w:rPr>
              <w:rFonts w:hint="eastAsia"/>
              <w14:ligatures w14:val="standardContextual"/>
            </w:rPr>
          </w:pPr>
          <w:r>
            <w:fldChar w:fldCharType="begin"/>
          </w:r>
          <w:r>
            <w:instrText xml:space="preserve"> HYPERLINK \l "_Toc184636997" </w:instrText>
          </w:r>
          <w:r>
            <w:fldChar w:fldCharType="separate"/>
          </w:r>
          <w:r>
            <w:rPr>
              <w:rStyle w:val="21"/>
              <w:rFonts w:hint="eastAsia"/>
            </w:rPr>
            <w:t>5.3</w:t>
          </w:r>
          <w:r>
            <w:rPr>
              <w:rFonts w:hint="eastAsia"/>
              <w14:ligatures w14:val="standardContextual"/>
            </w:rPr>
            <w:tab/>
          </w:r>
          <w:r>
            <w:rPr>
              <w:rStyle w:val="21"/>
              <w:rFonts w:hint="eastAsia"/>
            </w:rPr>
            <w:t>技术要求</w:t>
          </w:r>
          <w:r>
            <w:rPr>
              <w:rFonts w:hint="eastAsia"/>
            </w:rPr>
            <w:tab/>
          </w:r>
          <w:r>
            <w:rPr>
              <w:rFonts w:hint="eastAsia"/>
            </w:rPr>
            <w:fldChar w:fldCharType="begin"/>
          </w:r>
          <w:r>
            <w:rPr>
              <w:rFonts w:hint="eastAsia"/>
            </w:rPr>
            <w:instrText xml:space="preserve"> </w:instrText>
          </w:r>
          <w:r>
            <w:instrText xml:space="preserve">PAGEREF _Toc184636997 \h</w:instrText>
          </w:r>
          <w:r>
            <w:rPr>
              <w:rFonts w:hint="eastAsia"/>
            </w:rPr>
            <w:instrText xml:space="preserve"> </w:instrText>
          </w:r>
          <w:r>
            <w:rPr>
              <w:rFonts w:hint="eastAsia"/>
            </w:rPr>
            <w:fldChar w:fldCharType="separate"/>
          </w:r>
          <w:r>
            <w:rPr>
              <w:rFonts w:hint="eastAsia"/>
            </w:rPr>
            <w:t>17</w:t>
          </w:r>
          <w:r>
            <w:rPr>
              <w:rFonts w:hint="eastAsia"/>
            </w:rPr>
            <w:fldChar w:fldCharType="end"/>
          </w:r>
          <w:r>
            <w:rPr>
              <w:rFonts w:hint="eastAsia"/>
            </w:rPr>
            <w:fldChar w:fldCharType="end"/>
          </w:r>
        </w:p>
        <w:p w14:paraId="781E3639">
          <w:pPr>
            <w:pStyle w:val="14"/>
            <w:tabs>
              <w:tab w:val="left" w:pos="1050"/>
              <w:tab w:val="right" w:leader="dot" w:pos="8296"/>
            </w:tabs>
            <w:rPr>
              <w:rFonts w:hint="eastAsia"/>
              <w14:ligatures w14:val="standardContextual"/>
            </w:rPr>
          </w:pPr>
          <w:r>
            <w:fldChar w:fldCharType="begin"/>
          </w:r>
          <w:r>
            <w:instrText xml:space="preserve"> HYPERLINK \l "_Toc184636998" </w:instrText>
          </w:r>
          <w:r>
            <w:fldChar w:fldCharType="separate"/>
          </w:r>
          <w:r>
            <w:rPr>
              <w:rStyle w:val="21"/>
              <w:rFonts w:hint="eastAsia"/>
            </w:rPr>
            <w:t>5.4</w:t>
          </w:r>
          <w:r>
            <w:rPr>
              <w:rFonts w:hint="eastAsia"/>
              <w14:ligatures w14:val="standardContextual"/>
            </w:rPr>
            <w:tab/>
          </w:r>
          <w:r>
            <w:rPr>
              <w:rStyle w:val="21"/>
              <w:rFonts w:hint="eastAsia"/>
            </w:rPr>
            <w:t>统计范围和计算方法</w:t>
          </w:r>
          <w:r>
            <w:rPr>
              <w:rFonts w:hint="eastAsia"/>
            </w:rPr>
            <w:tab/>
          </w:r>
          <w:r>
            <w:rPr>
              <w:rFonts w:hint="eastAsia"/>
            </w:rPr>
            <w:fldChar w:fldCharType="begin"/>
          </w:r>
          <w:r>
            <w:rPr>
              <w:rFonts w:hint="eastAsia"/>
            </w:rPr>
            <w:instrText xml:space="preserve"> </w:instrText>
          </w:r>
          <w:r>
            <w:instrText xml:space="preserve">PAGEREF _Toc184636998 \h</w:instrText>
          </w:r>
          <w:r>
            <w:rPr>
              <w:rFonts w:hint="eastAsia"/>
            </w:rPr>
            <w:instrText xml:space="preserve"> </w:instrText>
          </w:r>
          <w:r>
            <w:rPr>
              <w:rFonts w:hint="eastAsia"/>
            </w:rPr>
            <w:fldChar w:fldCharType="separate"/>
          </w:r>
          <w:r>
            <w:rPr>
              <w:rFonts w:hint="eastAsia"/>
            </w:rPr>
            <w:t>17</w:t>
          </w:r>
          <w:r>
            <w:rPr>
              <w:rFonts w:hint="eastAsia"/>
            </w:rPr>
            <w:fldChar w:fldCharType="end"/>
          </w:r>
          <w:r>
            <w:rPr>
              <w:rFonts w:hint="eastAsia"/>
            </w:rPr>
            <w:fldChar w:fldCharType="end"/>
          </w:r>
        </w:p>
        <w:p w14:paraId="3A132923">
          <w:pPr>
            <w:pStyle w:val="13"/>
            <w:tabs>
              <w:tab w:val="left" w:pos="420"/>
              <w:tab w:val="right" w:leader="dot" w:pos="8296"/>
            </w:tabs>
            <w:rPr>
              <w:rFonts w:hint="eastAsia"/>
              <w14:ligatures w14:val="standardContextual"/>
            </w:rPr>
          </w:pPr>
          <w:r>
            <w:fldChar w:fldCharType="begin"/>
          </w:r>
          <w:r>
            <w:instrText xml:space="preserve"> HYPERLINK \l "_Toc184636999" </w:instrText>
          </w:r>
          <w:r>
            <w:fldChar w:fldCharType="separate"/>
          </w:r>
          <w:r>
            <w:rPr>
              <w:rStyle w:val="21"/>
              <w:rFonts w:hint="eastAsia"/>
            </w:rPr>
            <w:t>6</w:t>
          </w:r>
          <w:r>
            <w:rPr>
              <w:rFonts w:hint="eastAsia"/>
              <w14:ligatures w14:val="standardContextual"/>
            </w:rPr>
            <w:tab/>
          </w:r>
          <w:r>
            <w:rPr>
              <w:rStyle w:val="21"/>
              <w:rFonts w:hint="eastAsia"/>
            </w:rPr>
            <w:t>与国际、国外同类标准水平的对比情况</w:t>
          </w:r>
          <w:r>
            <w:rPr>
              <w:rFonts w:hint="eastAsia"/>
            </w:rPr>
            <w:tab/>
          </w:r>
          <w:r>
            <w:rPr>
              <w:rFonts w:hint="eastAsia"/>
            </w:rPr>
            <w:fldChar w:fldCharType="begin"/>
          </w:r>
          <w:r>
            <w:rPr>
              <w:rFonts w:hint="eastAsia"/>
            </w:rPr>
            <w:instrText xml:space="preserve"> </w:instrText>
          </w:r>
          <w:r>
            <w:instrText xml:space="preserve">PAGEREF _Toc184636999 \h</w:instrText>
          </w:r>
          <w:r>
            <w:rPr>
              <w:rFonts w:hint="eastAsia"/>
            </w:rPr>
            <w:instrText xml:space="preserve"> </w:instrText>
          </w:r>
          <w:r>
            <w:rPr>
              <w:rFonts w:hint="eastAsia"/>
            </w:rPr>
            <w:fldChar w:fldCharType="separate"/>
          </w:r>
          <w:r>
            <w:rPr>
              <w:rFonts w:hint="eastAsia"/>
            </w:rPr>
            <w:t>18</w:t>
          </w:r>
          <w:r>
            <w:rPr>
              <w:rFonts w:hint="eastAsia"/>
            </w:rPr>
            <w:fldChar w:fldCharType="end"/>
          </w:r>
          <w:r>
            <w:rPr>
              <w:rFonts w:hint="eastAsia"/>
            </w:rPr>
            <w:fldChar w:fldCharType="end"/>
          </w:r>
        </w:p>
        <w:p w14:paraId="0C1DE415">
          <w:pPr>
            <w:pStyle w:val="13"/>
            <w:tabs>
              <w:tab w:val="left" w:pos="420"/>
              <w:tab w:val="right" w:leader="dot" w:pos="8296"/>
            </w:tabs>
            <w:rPr>
              <w:rFonts w:hint="eastAsia"/>
              <w14:ligatures w14:val="standardContextual"/>
            </w:rPr>
          </w:pPr>
          <w:r>
            <w:fldChar w:fldCharType="begin"/>
          </w:r>
          <w:r>
            <w:instrText xml:space="preserve"> HYPERLINK \l "_Toc184637000" </w:instrText>
          </w:r>
          <w:r>
            <w:fldChar w:fldCharType="separate"/>
          </w:r>
          <w:r>
            <w:rPr>
              <w:rStyle w:val="21"/>
              <w:rFonts w:hint="eastAsia"/>
            </w:rPr>
            <w:t>7</w:t>
          </w:r>
          <w:r>
            <w:rPr>
              <w:rFonts w:hint="eastAsia"/>
              <w14:ligatures w14:val="standardContextual"/>
            </w:rPr>
            <w:tab/>
          </w:r>
          <w:r>
            <w:rPr>
              <w:rStyle w:val="21"/>
              <w:rFonts w:hint="eastAsia"/>
            </w:rPr>
            <w:t>与现行法律、法规和强制性标准的关系</w:t>
          </w:r>
          <w:r>
            <w:rPr>
              <w:rFonts w:hint="eastAsia"/>
            </w:rPr>
            <w:tab/>
          </w:r>
          <w:r>
            <w:rPr>
              <w:rFonts w:hint="eastAsia"/>
            </w:rPr>
            <w:fldChar w:fldCharType="begin"/>
          </w:r>
          <w:r>
            <w:rPr>
              <w:rFonts w:hint="eastAsia"/>
            </w:rPr>
            <w:instrText xml:space="preserve"> </w:instrText>
          </w:r>
          <w:r>
            <w:instrText xml:space="preserve">PAGEREF _Toc184637000 \h</w:instrText>
          </w:r>
          <w:r>
            <w:rPr>
              <w:rFonts w:hint="eastAsia"/>
            </w:rPr>
            <w:instrText xml:space="preserve"> </w:instrText>
          </w:r>
          <w:r>
            <w:rPr>
              <w:rFonts w:hint="eastAsia"/>
            </w:rPr>
            <w:fldChar w:fldCharType="separate"/>
          </w:r>
          <w:r>
            <w:rPr>
              <w:rFonts w:hint="eastAsia"/>
            </w:rPr>
            <w:t>18</w:t>
          </w:r>
          <w:r>
            <w:rPr>
              <w:rFonts w:hint="eastAsia"/>
            </w:rPr>
            <w:fldChar w:fldCharType="end"/>
          </w:r>
          <w:r>
            <w:rPr>
              <w:rFonts w:hint="eastAsia"/>
            </w:rPr>
            <w:fldChar w:fldCharType="end"/>
          </w:r>
        </w:p>
        <w:p w14:paraId="71C3AE3A">
          <w:pPr>
            <w:pStyle w:val="13"/>
            <w:tabs>
              <w:tab w:val="left" w:pos="420"/>
              <w:tab w:val="right" w:leader="dot" w:pos="8296"/>
            </w:tabs>
            <w:rPr>
              <w:rFonts w:hint="eastAsia"/>
              <w14:ligatures w14:val="standardContextual"/>
            </w:rPr>
          </w:pPr>
          <w:r>
            <w:fldChar w:fldCharType="begin"/>
          </w:r>
          <w:r>
            <w:instrText xml:space="preserve"> HYPERLINK \l "_Toc184637001" </w:instrText>
          </w:r>
          <w:r>
            <w:fldChar w:fldCharType="separate"/>
          </w:r>
          <w:r>
            <w:rPr>
              <w:rStyle w:val="21"/>
              <w:rFonts w:hint="eastAsia"/>
            </w:rPr>
            <w:t>8</w:t>
          </w:r>
          <w:r>
            <w:rPr>
              <w:rFonts w:hint="eastAsia"/>
              <w14:ligatures w14:val="standardContextual"/>
            </w:rPr>
            <w:tab/>
          </w:r>
          <w:r>
            <w:rPr>
              <w:rStyle w:val="21"/>
              <w:rFonts w:hint="eastAsia"/>
            </w:rPr>
            <w:t>重大分歧意见的处理</w:t>
          </w:r>
          <w:r>
            <w:rPr>
              <w:rFonts w:hint="eastAsia"/>
            </w:rPr>
            <w:tab/>
          </w:r>
          <w:r>
            <w:rPr>
              <w:rFonts w:hint="eastAsia"/>
            </w:rPr>
            <w:fldChar w:fldCharType="begin"/>
          </w:r>
          <w:r>
            <w:rPr>
              <w:rFonts w:hint="eastAsia"/>
            </w:rPr>
            <w:instrText xml:space="preserve"> </w:instrText>
          </w:r>
          <w:r>
            <w:instrText xml:space="preserve">PAGEREF _Toc184637001 \h</w:instrText>
          </w:r>
          <w:r>
            <w:rPr>
              <w:rFonts w:hint="eastAsia"/>
            </w:rPr>
            <w:instrText xml:space="preserve"> </w:instrText>
          </w:r>
          <w:r>
            <w:rPr>
              <w:rFonts w:hint="eastAsia"/>
            </w:rPr>
            <w:fldChar w:fldCharType="separate"/>
          </w:r>
          <w:r>
            <w:rPr>
              <w:rFonts w:hint="eastAsia"/>
            </w:rPr>
            <w:t>18</w:t>
          </w:r>
          <w:r>
            <w:rPr>
              <w:rFonts w:hint="eastAsia"/>
            </w:rPr>
            <w:fldChar w:fldCharType="end"/>
          </w:r>
          <w:r>
            <w:rPr>
              <w:rFonts w:hint="eastAsia"/>
            </w:rPr>
            <w:fldChar w:fldCharType="end"/>
          </w:r>
        </w:p>
        <w:p w14:paraId="7AFFD48A">
          <w:pPr>
            <w:pStyle w:val="13"/>
            <w:tabs>
              <w:tab w:val="left" w:pos="420"/>
              <w:tab w:val="right" w:leader="dot" w:pos="8296"/>
            </w:tabs>
            <w:rPr>
              <w:rFonts w:hint="eastAsia"/>
              <w14:ligatures w14:val="standardContextual"/>
            </w:rPr>
          </w:pPr>
          <w:r>
            <w:fldChar w:fldCharType="begin"/>
          </w:r>
          <w:r>
            <w:instrText xml:space="preserve"> HYPERLINK \l "_Toc184637002" </w:instrText>
          </w:r>
          <w:r>
            <w:fldChar w:fldCharType="separate"/>
          </w:r>
          <w:r>
            <w:rPr>
              <w:rStyle w:val="21"/>
              <w:rFonts w:hint="eastAsia"/>
            </w:rPr>
            <w:t>9</w:t>
          </w:r>
          <w:r>
            <w:rPr>
              <w:rFonts w:hint="eastAsia"/>
              <w14:ligatures w14:val="standardContextual"/>
            </w:rPr>
            <w:tab/>
          </w:r>
          <w:r>
            <w:rPr>
              <w:rStyle w:val="21"/>
              <w:rFonts w:hint="eastAsia"/>
            </w:rPr>
            <w:t>其他应予以说明的事项</w:t>
          </w:r>
          <w:r>
            <w:rPr>
              <w:rFonts w:hint="eastAsia"/>
            </w:rPr>
            <w:tab/>
          </w:r>
          <w:r>
            <w:rPr>
              <w:rFonts w:hint="eastAsia"/>
            </w:rPr>
            <w:fldChar w:fldCharType="begin"/>
          </w:r>
          <w:r>
            <w:rPr>
              <w:rFonts w:hint="eastAsia"/>
            </w:rPr>
            <w:instrText xml:space="preserve"> </w:instrText>
          </w:r>
          <w:r>
            <w:instrText xml:space="preserve">PAGEREF _Toc184637002 \h</w:instrText>
          </w:r>
          <w:r>
            <w:rPr>
              <w:rFonts w:hint="eastAsia"/>
            </w:rPr>
            <w:instrText xml:space="preserve"> </w:instrText>
          </w:r>
          <w:r>
            <w:rPr>
              <w:rFonts w:hint="eastAsia"/>
            </w:rPr>
            <w:fldChar w:fldCharType="separate"/>
          </w:r>
          <w:r>
            <w:rPr>
              <w:rFonts w:hint="eastAsia"/>
            </w:rPr>
            <w:t>18</w:t>
          </w:r>
          <w:r>
            <w:rPr>
              <w:rFonts w:hint="eastAsia"/>
            </w:rPr>
            <w:fldChar w:fldCharType="end"/>
          </w:r>
          <w:r>
            <w:rPr>
              <w:rFonts w:hint="eastAsia"/>
            </w:rPr>
            <w:fldChar w:fldCharType="end"/>
          </w:r>
        </w:p>
        <w:p w14:paraId="6A0B6A62">
          <w:pPr>
            <w:snapToGrid w:val="0"/>
            <w:spacing w:line="360" w:lineRule="auto"/>
            <w:rPr>
              <w:rFonts w:ascii="Times New Roman" w:hAnsi="Times New Roman" w:eastAsia="宋体" w:cs="Times New Roman"/>
            </w:rPr>
          </w:pPr>
          <w:r>
            <w:rPr>
              <w:rFonts w:ascii="Times New Roman" w:hAnsi="Times New Roman" w:eastAsia="宋体" w:cs="Times New Roman"/>
              <w:bCs/>
              <w:szCs w:val="24"/>
              <w:lang w:val="zh-CN"/>
            </w:rPr>
            <w:fldChar w:fldCharType="end"/>
          </w:r>
        </w:p>
      </w:sdtContent>
    </w:sdt>
    <w:p w14:paraId="130091F2">
      <w:pPr>
        <w:pStyle w:val="23"/>
        <w:ind w:firstLine="480"/>
        <w:rPr>
          <w:rFonts w:cs="Times New Roman"/>
        </w:rPr>
        <w:sectPr>
          <w:footerReference r:id="rId4" w:type="default"/>
          <w:pgSz w:w="11906" w:h="16838"/>
          <w:pgMar w:top="1440" w:right="1800" w:bottom="1440" w:left="1800" w:header="851" w:footer="992" w:gutter="0"/>
          <w:pgNumType w:fmt="upperRoman" w:start="1"/>
          <w:cols w:space="425" w:num="1"/>
          <w:docGrid w:type="lines" w:linePitch="312" w:charSpace="0"/>
        </w:sectPr>
      </w:pPr>
    </w:p>
    <w:p w14:paraId="52590C74">
      <w:pPr>
        <w:pStyle w:val="2"/>
        <w:spacing w:before="156" w:after="156"/>
      </w:pPr>
      <w:bookmarkStart w:id="0" w:name="_Toc184636984"/>
      <w:r>
        <w:rPr>
          <w:rFonts w:hint="eastAsia"/>
        </w:rPr>
        <w:t>项目背景</w:t>
      </w:r>
      <w:bookmarkEnd w:id="0"/>
    </w:p>
    <w:p w14:paraId="3D3F974E">
      <w:pPr>
        <w:pStyle w:val="3"/>
        <w:spacing w:before="156" w:after="156"/>
      </w:pPr>
      <w:bookmarkStart w:id="1" w:name="_Toc184636985"/>
      <w:r>
        <w:rPr>
          <w:rFonts w:hint="eastAsia"/>
        </w:rPr>
        <w:t>任务来源</w:t>
      </w:r>
      <w:bookmarkEnd w:id="1"/>
    </w:p>
    <w:p w14:paraId="4B9C6B05">
      <w:pPr>
        <w:pStyle w:val="23"/>
        <w:ind w:firstLine="480"/>
        <w:rPr>
          <w:rStyle w:val="24"/>
        </w:rPr>
      </w:pPr>
      <w:r>
        <w:rPr>
          <w:rStyle w:val="24"/>
          <w:rFonts w:hint="eastAsia"/>
        </w:rPr>
        <w:t>2021年7月，生态环境部印发了《关于开展重点行业建设项目碳排放环境影响评价试点的通知》（环办环评函〔2021〕346号）（以下简称《试点通知》）要求对电力、钢铁、建材、石化、化工和有色六大行业建设项目在广东等9个省（市、自治区）开展温室气体纳入环评的试点工作。炼油行业因其工艺复杂、二氧化碳排放体量大等原因，其建设项目温室气体环评是国家试点的重点。按照要求，标准编制组在</w:t>
      </w:r>
      <w:r>
        <w:rPr>
          <w:rStyle w:val="24"/>
        </w:rPr>
        <w:t>2022年开展了炼油行业减污降碳路径研究，梳理了炼油行业各种产品，包括原油蒸馏、催化裂化、加氢裂化、重整等产品的碳排放基准、减污降碳措施等，以及上述产品炼油过程中的碳排放基准以及</w:t>
      </w:r>
      <w:r>
        <w:rPr>
          <w:rStyle w:val="24"/>
          <w:rFonts w:hint="eastAsia"/>
        </w:rPr>
        <w:t>碳捕集</w:t>
      </w:r>
      <w:r>
        <w:rPr>
          <w:rStyle w:val="24"/>
        </w:rPr>
        <w:t>措施。按照《重点行业建设项目碳排放环境影响评价试点技术指南（试行）》中“在满足 HJ2.1、HJ2.2 和 HJ2.3 关于污染治理措施方案选择要求前提下，在环境影响报告书环境保护措施论证及可行性分析章节，开展基于碳</w:t>
      </w:r>
      <w:r>
        <w:rPr>
          <w:rStyle w:val="24"/>
          <w:rFonts w:hint="eastAsia"/>
        </w:rPr>
        <w:t>排放量最小的废气和废水污染治理设施和预防措施的多方案比选”的要求，以及为落实《减污降碳协同增效实施方案》中“制定污染物与温室气体排放协同控制可行技术指南”相关要求提供技术支撑，标准编制组开展了污染治理措施协同性协同度研究，同时，在炼油行业端采取碳捕集措施，能够可以有效减少这些气体的排放，从而缓解全球气候变暖的趋势。同时可以将原本被视为废弃物的二氧化碳转化为有价值的资源，如用于驱油等，从而提高能源的整体利用效率。碳捕集技术的发展和应用需要不断的技术创新和研发投入，在推动炼油技术的进步的同时，还可以促进整个能源行业的科技创新和产业升级。而且随着全球对环境保护和可持续发展的日益重视，各国政府纷纷出台相关政策限制温室气体排放。同时，市场对低碳、环保产品的需求也在不断增加。炼油行业进行碳捕集有助于满足这些政策要求和市场需求。为此选取了炼油行业为例开展上述研究。</w:t>
      </w:r>
    </w:p>
    <w:p w14:paraId="4AC276EF">
      <w:pPr>
        <w:pStyle w:val="3"/>
        <w:spacing w:before="156" w:after="156"/>
      </w:pPr>
      <w:bookmarkStart w:id="2" w:name="_Toc184636986"/>
      <w:r>
        <w:rPr>
          <w:rFonts w:hint="eastAsia"/>
        </w:rPr>
        <w:t>主要工作过程</w:t>
      </w:r>
      <w:bookmarkEnd w:id="2"/>
    </w:p>
    <w:p w14:paraId="452F2C57">
      <w:pPr>
        <w:pStyle w:val="23"/>
        <w:ind w:firstLine="480"/>
      </w:pPr>
      <w:r>
        <w:rPr>
          <w:rFonts w:hint="eastAsia"/>
        </w:rPr>
        <w:t>本标准由中国炼油技术协会提出并组织制定，编制单位有标准牵头单位生态环境部环境工程评估中心，主编单位中国矿业大学、北京低碳清洁能源研究院、中国寰球工程有限公司、北京科技大学、西安昱昌环境科技有限公司、北京纳思利万环保科技有限公司、北京中环智云生态环境科技有限公司。会议特邀</w:t>
      </w:r>
      <w:r>
        <w:t>6位专家组成审查小组，对标准草案进行了深入讨论和审查。本标准于2023年4月启动编制。</w:t>
      </w:r>
    </w:p>
    <w:p w14:paraId="009DCD4D">
      <w:pPr>
        <w:pStyle w:val="23"/>
        <w:ind w:firstLine="480"/>
      </w:pPr>
      <w:r>
        <w:rPr>
          <w:rFonts w:hint="eastAsia"/>
        </w:rPr>
        <w:t>主要的工作过程如下：</w:t>
      </w:r>
    </w:p>
    <w:p w14:paraId="5D0906E2">
      <w:pPr>
        <w:pStyle w:val="23"/>
        <w:ind w:firstLine="480"/>
      </w:pPr>
      <w:r>
        <w:rPr>
          <w:rFonts w:hint="eastAsia"/>
        </w:rPr>
        <w:t>1</w:t>
      </w:r>
      <w:r>
        <w:t>.</w:t>
      </w:r>
      <w:r>
        <w:rPr>
          <w:rFonts w:hint="eastAsia"/>
        </w:rPr>
        <w:t>调研与数据收集（</w:t>
      </w:r>
      <w:r>
        <w:t>2023年4月至2023年7月）：</w:t>
      </w:r>
    </w:p>
    <w:p w14:paraId="79FA58BD">
      <w:pPr>
        <w:pStyle w:val="23"/>
        <w:ind w:firstLine="480"/>
      </w:pPr>
      <w:r>
        <w:rPr>
          <w:rFonts w:hint="eastAsia"/>
        </w:rPr>
        <w:t>在这一阶段，炼油行业进行了碳捕集技术的调研，收集了相关项目的可行性研究报告和文献资料。对炼油项目污染治理措施的碳排放水平进行了深入调查研究，并形成了污染治理措施碳排放水平调查表初稿。</w:t>
      </w:r>
    </w:p>
    <w:p w14:paraId="02F24697">
      <w:pPr>
        <w:pStyle w:val="23"/>
        <w:ind w:firstLine="480"/>
      </w:pPr>
      <w:r>
        <w:rPr>
          <w:rFonts w:hint="eastAsia"/>
        </w:rPr>
        <w:t>2</w:t>
      </w:r>
      <w:r>
        <w:t>.</w:t>
      </w:r>
      <w:r>
        <w:rPr>
          <w:rFonts w:hint="eastAsia"/>
          <w:lang w:eastAsia="zh-CN"/>
        </w:rPr>
        <w:t>内部</w:t>
      </w:r>
      <w:r>
        <w:rPr>
          <w:rFonts w:hint="eastAsia"/>
        </w:rPr>
        <w:t>论证（</w:t>
      </w:r>
      <w:r>
        <w:t>2023年9月8日）：</w:t>
      </w:r>
    </w:p>
    <w:p w14:paraId="22B06694">
      <w:pPr>
        <w:pStyle w:val="23"/>
        <w:ind w:firstLine="480"/>
      </w:pPr>
      <w:r>
        <w:rPr>
          <w:rFonts w:hint="eastAsia"/>
        </w:rPr>
        <w:t>举行了炼油行业碳捕集评价指南的</w:t>
      </w:r>
      <w:r>
        <w:rPr>
          <w:rFonts w:hint="eastAsia"/>
          <w:lang w:eastAsia="zh-CN"/>
        </w:rPr>
        <w:t>内部</w:t>
      </w:r>
      <w:r>
        <w:rPr>
          <w:rFonts w:hint="eastAsia"/>
        </w:rPr>
        <w:t>开题论证会议，标志着炼油行业碳捕集技术研究的正式启动。</w:t>
      </w:r>
    </w:p>
    <w:p w14:paraId="076D0658">
      <w:pPr>
        <w:pStyle w:val="23"/>
        <w:ind w:firstLine="480"/>
      </w:pPr>
      <w:r>
        <w:rPr>
          <w:rFonts w:hint="eastAsia"/>
        </w:rPr>
        <w:t>3</w:t>
      </w:r>
      <w:r>
        <w:t>.</w:t>
      </w:r>
      <w:r>
        <w:rPr>
          <w:rFonts w:hint="eastAsia"/>
        </w:rPr>
        <w:t>实地调研（</w:t>
      </w:r>
      <w:r>
        <w:t>2023年7月至2023年10月）：</w:t>
      </w:r>
    </w:p>
    <w:p w14:paraId="7E7E0AD4">
      <w:pPr>
        <w:pStyle w:val="23"/>
        <w:ind w:firstLine="480"/>
      </w:pPr>
      <w:r>
        <w:t>调研了</w:t>
      </w:r>
      <w:r>
        <w:rPr>
          <w:rFonts w:hint="eastAsia"/>
        </w:rPr>
        <w:t>全国</w:t>
      </w:r>
      <w:r>
        <w:t>炼油、燃煤电、有机化工、甲醇、化肥等行业约3</w:t>
      </w:r>
      <w:r>
        <w:rPr>
          <w:rFonts w:hint="eastAsia"/>
        </w:rPr>
        <w:t>8个碳捕集项目</w:t>
      </w:r>
      <w:r>
        <w:t>。</w:t>
      </w:r>
    </w:p>
    <w:p w14:paraId="6E1167FC">
      <w:pPr>
        <w:pStyle w:val="23"/>
        <w:ind w:firstLine="480"/>
      </w:pPr>
      <w:r>
        <w:rPr>
          <w:rFonts w:hint="eastAsia"/>
        </w:rPr>
        <w:t>4</w:t>
      </w:r>
      <w:r>
        <w:t>.</w:t>
      </w:r>
      <w:r>
        <w:rPr>
          <w:rFonts w:hint="eastAsia"/>
        </w:rPr>
        <w:t>标准草案编制与讨论（</w:t>
      </w:r>
      <w:r>
        <w:t>2023年11月至2024年8月）：</w:t>
      </w:r>
    </w:p>
    <w:p w14:paraId="14903E77">
      <w:pPr>
        <w:pStyle w:val="23"/>
        <w:ind w:firstLine="480"/>
        <w:rPr>
          <w:rFonts w:hint="eastAsia"/>
        </w:rPr>
      </w:pPr>
      <w:r>
        <w:rPr>
          <w:rFonts w:hint="eastAsia"/>
        </w:rPr>
        <w:t>根据前期调研和资料分析，工作组了解了炼油产业的发展现状和需求。经过充分调研和反复讨论，初步完成了标准草案的编制。同时，邀请相关专家对标准草案进行讨论并进行修改完善，形成了标准征求意见稿初稿。</w:t>
      </w:r>
    </w:p>
    <w:p w14:paraId="33B60FF6">
      <w:pPr>
        <w:pStyle w:val="23"/>
        <w:numPr>
          <w:ilvl w:val="0"/>
          <w:numId w:val="0"/>
        </w:numPr>
        <w:ind w:firstLine="480" w:firstLineChars="200"/>
        <w:rPr>
          <w:rFonts w:hint="default"/>
          <w:lang w:val="en-US" w:eastAsia="zh-CN"/>
        </w:rPr>
      </w:pPr>
      <w:r>
        <w:rPr>
          <w:rFonts w:hint="eastAsia" w:ascii="Times New Roman" w:hAnsi="Times New Roman" w:eastAsia="宋体" w:cs="宋体"/>
          <w:kern w:val="2"/>
          <w:sz w:val="24"/>
          <w:szCs w:val="20"/>
          <w:lang w:val="en-US" w:eastAsia="zh-CN" w:bidi="ar-SA"/>
        </w:rPr>
        <w:t>5.</w:t>
      </w:r>
      <w:r>
        <w:rPr>
          <w:rFonts w:hint="eastAsia"/>
          <w:lang w:val="en-US" w:eastAsia="zh-CN"/>
        </w:rPr>
        <w:t>开题论证(2024年11月8日）</w:t>
      </w:r>
    </w:p>
    <w:p w14:paraId="5B4ED7BA">
      <w:pPr>
        <w:pStyle w:val="23"/>
        <w:ind w:firstLine="480"/>
      </w:pPr>
      <w:r>
        <w:rPr>
          <w:rFonts w:hint="eastAsia"/>
          <w:lang w:val="en-US" w:eastAsia="zh-CN"/>
        </w:rPr>
        <w:t xml:space="preserve"> 中国化工节能技术协会</w:t>
      </w:r>
      <w:r>
        <w:rPr>
          <w:rFonts w:hint="eastAsia"/>
          <w:lang w:eastAsia="zh-CN"/>
        </w:rPr>
        <w:t>组织召开</w:t>
      </w:r>
      <w:r>
        <w:rPr>
          <w:rFonts w:hint="eastAsia"/>
        </w:rPr>
        <w:t>了炼油行业碳捕集评价指南的</w:t>
      </w:r>
      <w:r>
        <w:rPr>
          <w:rFonts w:hint="eastAsia"/>
          <w:lang w:eastAsia="zh-CN"/>
        </w:rPr>
        <w:t>内部</w:t>
      </w:r>
      <w:r>
        <w:rPr>
          <w:rFonts w:hint="eastAsia"/>
        </w:rPr>
        <w:t>开题论证会议，标志着炼油行业碳捕集技术研究的正式启动。</w:t>
      </w:r>
    </w:p>
    <w:p w14:paraId="49FB637B">
      <w:pPr>
        <w:pStyle w:val="23"/>
        <w:ind w:firstLine="480"/>
      </w:pPr>
      <w:r>
        <w:rPr>
          <w:rFonts w:hint="eastAsia"/>
          <w:lang w:val="en-US" w:eastAsia="zh-CN"/>
        </w:rPr>
        <w:t>6</w:t>
      </w:r>
      <w:r>
        <w:t>.</w:t>
      </w:r>
      <w:r>
        <w:rPr>
          <w:rFonts w:hint="eastAsia"/>
        </w:rPr>
        <w:t>征求意见稿审查会（</w:t>
      </w:r>
      <w:r>
        <w:t>2024年11月</w:t>
      </w:r>
      <w:r>
        <w:rPr>
          <w:rFonts w:hint="eastAsia"/>
          <w:lang w:val="en-US" w:eastAsia="zh-CN"/>
        </w:rPr>
        <w:t>14</w:t>
      </w:r>
      <w:r>
        <w:t>日）：</w:t>
      </w:r>
      <w:bookmarkStart w:id="20" w:name="_GoBack"/>
      <w:bookmarkEnd w:id="20"/>
    </w:p>
    <w:p w14:paraId="17640255">
      <w:pPr>
        <w:pStyle w:val="23"/>
        <w:ind w:firstLine="480"/>
      </w:pPr>
      <w:r>
        <w:rPr>
          <w:rFonts w:hint="eastAsia"/>
          <w:lang w:val="en-US" w:eastAsia="zh-CN"/>
        </w:rPr>
        <w:t>中国化工节能技术协会</w:t>
      </w:r>
      <w:r>
        <w:rPr>
          <w:rFonts w:hint="eastAsia"/>
          <w:lang w:eastAsia="zh-CN"/>
        </w:rPr>
        <w:t>组织召开</w:t>
      </w:r>
      <w:r>
        <w:rPr>
          <w:rFonts w:hint="eastAsia"/>
        </w:rPr>
        <w:t>了炼油行业碳捕集技术标准征求意见稿审查会，并通过评审，这为炼油行业碳捕集技术标准的最终确定奠定了基础。</w:t>
      </w:r>
    </w:p>
    <w:p w14:paraId="58544C47">
      <w:pPr>
        <w:pStyle w:val="2"/>
        <w:spacing w:before="156" w:after="156"/>
      </w:pPr>
      <w:bookmarkStart w:id="3" w:name="_Toc184636987"/>
      <w:r>
        <w:rPr>
          <w:rFonts w:hint="eastAsia"/>
        </w:rPr>
        <w:t>标准制定的必要性和意义</w:t>
      </w:r>
      <w:bookmarkEnd w:id="3"/>
    </w:p>
    <w:p w14:paraId="3E0AB989">
      <w:pPr>
        <w:pStyle w:val="23"/>
        <w:ind w:firstLine="480"/>
      </w:pPr>
      <w:r>
        <w:t>标准是经济活动和社会发展的重要支撑，做好碳核算和减污降碳排放标准的研制工作，</w:t>
      </w:r>
      <w:r>
        <w:rPr>
          <w:shd w:val="clear" w:color="auto" w:fill="FFFFFF"/>
        </w:rPr>
        <w:t>突出标准引领作用，</w:t>
      </w:r>
      <w:r>
        <w:t>充分发挥碳排放标准系统协调与整体推进作用，能够有效推动我国低碳发展。</w:t>
      </w:r>
      <w:r>
        <w:rPr>
          <w:rFonts w:hint="eastAsia"/>
        </w:rPr>
        <w:t>炼油</w:t>
      </w:r>
      <w:r>
        <w:t>行业作为高</w:t>
      </w:r>
      <w:r>
        <w:rPr>
          <w:rFonts w:hint="eastAsia"/>
        </w:rPr>
        <w:t>污染物和</w:t>
      </w:r>
      <w:r>
        <w:t>CO</w:t>
      </w:r>
      <w:r>
        <w:rPr>
          <w:vertAlign w:val="subscript"/>
        </w:rPr>
        <w:t>2</w:t>
      </w:r>
      <w:r>
        <w:t>排放行业，更应该贯彻落实《中共中央国务院关于完整准确全面贯彻新发展理念做好碳达峰碳中和工作的意见》</w:t>
      </w:r>
      <w:r>
        <w:rPr>
          <w:rFonts w:hint="eastAsia"/>
        </w:rPr>
        <w:t>和国务院《2030年前碳达峰行动方案》</w:t>
      </w:r>
      <w:r>
        <w:t>要求，积极开展碳</w:t>
      </w:r>
      <w:r>
        <w:rPr>
          <w:rFonts w:hint="eastAsia"/>
        </w:rPr>
        <w:t>捕集</w:t>
      </w:r>
      <w:r>
        <w:t>标准制订工作，推动</w:t>
      </w:r>
      <w:r>
        <w:rPr>
          <w:rFonts w:hint="eastAsia"/>
        </w:rPr>
        <w:t>炼油</w:t>
      </w:r>
      <w:r>
        <w:t>行业绿色低碳转型、引领推进高质量发展，确保如期实现碳达峰目标。</w:t>
      </w:r>
    </w:p>
    <w:p w14:paraId="25BA9C4B">
      <w:pPr>
        <w:pStyle w:val="23"/>
        <w:ind w:firstLine="480"/>
        <w:rPr>
          <w:b/>
          <w:bCs/>
          <w:shd w:val="clear" w:color="auto" w:fill="FFFFFF"/>
        </w:rPr>
      </w:pPr>
      <w:r>
        <w:rPr>
          <w:rFonts w:hint="eastAsia"/>
        </w:rPr>
        <w:t>对拟建、在建项目，建议依据污染治理措施碳排放水平基准，综合考虑项目投资、能耗及污染物治理要求，合理选择碳捕集工艺路线及污染治理措施，实现减污降碳协同增效；对已建项目，可核算现有污染治理措施碳排放水平，对照污染治理措施碳排放水平基准对现有污染治理措施进行提标升级改造，精准发力绿色转型。本文件将视行业发展和标准制修订情况进行补充完善和动态调整。</w:t>
      </w:r>
      <w:r>
        <w:rPr>
          <w:rFonts w:hint="eastAsia"/>
          <w:b/>
          <w:bCs/>
          <w:shd w:val="clear" w:color="auto" w:fill="FFFFFF"/>
        </w:rPr>
        <w:t>本文件将视行业发展和</w:t>
      </w:r>
      <w:bookmarkStart w:id="4" w:name="_Hlk121154667"/>
      <w:r>
        <w:rPr>
          <w:rFonts w:hint="eastAsia"/>
          <w:b/>
          <w:bCs/>
          <w:shd w:val="clear" w:color="auto" w:fill="FFFFFF"/>
        </w:rPr>
        <w:t>标准制修订情况</w:t>
      </w:r>
      <w:bookmarkEnd w:id="4"/>
      <w:r>
        <w:rPr>
          <w:rFonts w:hint="eastAsia"/>
          <w:b/>
          <w:bCs/>
          <w:shd w:val="clear" w:color="auto" w:fill="FFFFFF"/>
        </w:rPr>
        <w:t>进行补充完善和动态调整。</w:t>
      </w:r>
    </w:p>
    <w:p w14:paraId="030AB860">
      <w:pPr>
        <w:pStyle w:val="2"/>
        <w:spacing w:before="156" w:after="156"/>
      </w:pPr>
      <w:bookmarkStart w:id="5" w:name="_Toc184636988"/>
      <w:r>
        <w:rPr>
          <w:rFonts w:hint="eastAsia"/>
        </w:rPr>
        <w:t>行业概况</w:t>
      </w:r>
      <w:bookmarkEnd w:id="5"/>
    </w:p>
    <w:p w14:paraId="3BB1549F">
      <w:pPr>
        <w:keepNext/>
        <w:keepLines/>
        <w:numPr>
          <w:ilvl w:val="1"/>
          <w:numId w:val="1"/>
        </w:numPr>
        <w:tabs>
          <w:tab w:val="left" w:pos="0"/>
          <w:tab w:val="clear" w:pos="-330"/>
        </w:tabs>
        <w:spacing w:before="156" w:beforeLines="50" w:after="156" w:afterLines="50" w:line="360" w:lineRule="auto"/>
        <w:ind w:left="0"/>
        <w:jc w:val="left"/>
        <w:outlineLvl w:val="1"/>
        <w:rPr>
          <w:rFonts w:ascii="Times New Roman" w:hAnsi="Times New Roman" w:eastAsia="楷体_GB2312" w:cs="Times New Roman"/>
          <w:b/>
          <w:bCs/>
          <w:smallCaps/>
          <w:sz w:val="36"/>
          <w:szCs w:val="28"/>
        </w:rPr>
      </w:pPr>
      <w:bookmarkStart w:id="6" w:name="_Toc184636989"/>
      <w:r>
        <w:rPr>
          <w:rFonts w:hint="eastAsia" w:ascii="Times New Roman" w:hAnsi="Times New Roman" w:eastAsia="楷体_GB2312" w:cs="Times New Roman"/>
          <w:b/>
          <w:bCs/>
          <w:smallCaps/>
          <w:sz w:val="36"/>
          <w:szCs w:val="28"/>
        </w:rPr>
        <w:t>炼油行业发展现状</w:t>
      </w:r>
      <w:bookmarkEnd w:id="6"/>
    </w:p>
    <w:p w14:paraId="1D08228B">
      <w:pPr>
        <w:pStyle w:val="23"/>
        <w:ind w:firstLine="480"/>
      </w:pPr>
      <w:r>
        <w:rPr>
          <w:rFonts w:hint="eastAsia"/>
        </w:rPr>
        <w:t>炼油行业是指将原油等烃类混合物通过蒸馏、裂化、重整等多种技术手段，加工成汽油、煤油、柴油、润滑油、溶剂油、沥青等石油产品的工业过程。这些产品广泛应用于交通运输、工业生产、农业灌溉以及居民生活等多个领域，是国家经济发展的重要支柱。炼油行业分类如表1所示。</w:t>
      </w:r>
    </w:p>
    <w:p w14:paraId="43EDB9CE">
      <w:pPr>
        <w:pStyle w:val="30"/>
        <w:spacing w:after="156"/>
      </w:pPr>
      <w:r>
        <w:rPr>
          <w:rFonts w:hint="eastAsia"/>
        </w:rPr>
        <w:t>表1炼油行业分类</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6996"/>
      </w:tblGrid>
      <w:tr w14:paraId="1C7F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14:paraId="5C21EC9C">
            <w:pPr>
              <w:pStyle w:val="26"/>
            </w:pPr>
            <w:r>
              <w:rPr>
                <w:rFonts w:hint="eastAsia"/>
              </w:rPr>
              <w:t>炼油行业分类</w:t>
            </w:r>
          </w:p>
        </w:tc>
      </w:tr>
      <w:tr w14:paraId="3AC07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51198ADA">
            <w:pPr>
              <w:pStyle w:val="26"/>
            </w:pPr>
            <w:r>
              <w:rPr>
                <w:rFonts w:hint="eastAsia"/>
              </w:rPr>
              <w:t>方法</w:t>
            </w:r>
          </w:p>
        </w:tc>
        <w:tc>
          <w:tcPr>
            <w:tcW w:w="6996" w:type="dxa"/>
            <w:vAlign w:val="center"/>
          </w:tcPr>
          <w:p w14:paraId="5BF0AA41">
            <w:pPr>
              <w:pStyle w:val="26"/>
            </w:pPr>
            <w:r>
              <w:rPr>
                <w:rFonts w:hint="eastAsia"/>
              </w:rPr>
              <w:t>介绍</w:t>
            </w:r>
          </w:p>
        </w:tc>
      </w:tr>
      <w:tr w14:paraId="5DA57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3A4213E">
            <w:pPr>
              <w:pStyle w:val="26"/>
            </w:pPr>
            <w:r>
              <w:rPr>
                <w:rFonts w:hint="eastAsia"/>
              </w:rPr>
              <w:t>常减压蒸馏</w:t>
            </w:r>
          </w:p>
        </w:tc>
        <w:tc>
          <w:tcPr>
            <w:tcW w:w="6996" w:type="dxa"/>
            <w:vAlign w:val="center"/>
          </w:tcPr>
          <w:p w14:paraId="4A9BFF7F">
            <w:pPr>
              <w:pStyle w:val="26"/>
            </w:pPr>
            <w:r>
              <w:rPr>
                <w:rFonts w:hint="eastAsia"/>
              </w:rPr>
              <w:t>常减压蒸馏是常压蒸馏和减压蒸馏的合称，是炼油厂石油加工的第一道工序，也称为原油的一次加工。</w:t>
            </w:r>
          </w:p>
        </w:tc>
      </w:tr>
      <w:tr w14:paraId="395BB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301C7151">
            <w:pPr>
              <w:pStyle w:val="26"/>
            </w:pPr>
            <w:r>
              <w:rPr>
                <w:rFonts w:hint="eastAsia"/>
              </w:rPr>
              <w:t>催化裂化</w:t>
            </w:r>
          </w:p>
        </w:tc>
        <w:tc>
          <w:tcPr>
            <w:tcW w:w="6996" w:type="dxa"/>
            <w:vAlign w:val="center"/>
          </w:tcPr>
          <w:p w14:paraId="4E33EEC4">
            <w:pPr>
              <w:pStyle w:val="26"/>
            </w:pPr>
            <w:r>
              <w:rPr>
                <w:rFonts w:hint="eastAsia"/>
              </w:rPr>
              <w:t>催化裂化是在热裂化工艺上发展起来的一种提高原油加工深度、生产优质汽油和柴油的重要工艺。</w:t>
            </w:r>
          </w:p>
        </w:tc>
      </w:tr>
      <w:tr w14:paraId="32DD4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0E0F0265">
            <w:pPr>
              <w:pStyle w:val="26"/>
            </w:pPr>
            <w:r>
              <w:rPr>
                <w:rFonts w:hint="eastAsia"/>
              </w:rPr>
              <w:t>催化重整</w:t>
            </w:r>
          </w:p>
        </w:tc>
        <w:tc>
          <w:tcPr>
            <w:tcW w:w="6996" w:type="dxa"/>
            <w:vAlign w:val="center"/>
          </w:tcPr>
          <w:p w14:paraId="70DB9483">
            <w:pPr>
              <w:pStyle w:val="26"/>
            </w:pPr>
            <w:r>
              <w:rPr>
                <w:rFonts w:hint="eastAsia"/>
              </w:rPr>
              <w:t>催化重整是在催化剂和氢气存在下，将低辛烷值的汽油馏分转化为高辛烷值汽油或芳烃的过程。</w:t>
            </w:r>
          </w:p>
        </w:tc>
      </w:tr>
      <w:tr w14:paraId="3DE71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EB17B4B">
            <w:pPr>
              <w:pStyle w:val="26"/>
            </w:pPr>
            <w:r>
              <w:rPr>
                <w:rFonts w:hint="eastAsia"/>
              </w:rPr>
              <w:t>加氢裂化</w:t>
            </w:r>
          </w:p>
        </w:tc>
        <w:tc>
          <w:tcPr>
            <w:tcW w:w="6996" w:type="dxa"/>
            <w:vAlign w:val="center"/>
          </w:tcPr>
          <w:p w14:paraId="29D3D034">
            <w:pPr>
              <w:pStyle w:val="26"/>
            </w:pPr>
            <w:r>
              <w:rPr>
                <w:rFonts w:hint="eastAsia"/>
              </w:rPr>
              <w:t>加氢裂化是在高压、氢气存在下，以催化剂为媒介，将重质油转化为轻质油(如汽油、煤油、柴油)和润滑油的过程。</w:t>
            </w:r>
          </w:p>
        </w:tc>
      </w:tr>
      <w:tr w14:paraId="5E161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65EAE920">
            <w:pPr>
              <w:pStyle w:val="26"/>
            </w:pPr>
            <w:r>
              <w:rPr>
                <w:rFonts w:hint="eastAsia"/>
              </w:rPr>
              <w:t>延迟焦化</w:t>
            </w:r>
          </w:p>
        </w:tc>
        <w:tc>
          <w:tcPr>
            <w:tcW w:w="6996" w:type="dxa"/>
            <w:vAlign w:val="center"/>
          </w:tcPr>
          <w:p w14:paraId="7FFE692E">
            <w:pPr>
              <w:pStyle w:val="26"/>
            </w:pPr>
            <w:r>
              <w:rPr>
                <w:rFonts w:hint="eastAsia"/>
              </w:rPr>
              <w:t>延迟焦化是深度热裂化过程，主要用于处理渣油等重质油，生产石油焦、蜡油、柴油、粗汽油和气体等产品。</w:t>
            </w:r>
          </w:p>
        </w:tc>
      </w:tr>
      <w:tr w14:paraId="3EDDE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1005767C">
            <w:pPr>
              <w:pStyle w:val="26"/>
            </w:pPr>
            <w:r>
              <w:rPr>
                <w:rFonts w:hint="eastAsia"/>
              </w:rPr>
              <w:t>溶剂脱沥青</w:t>
            </w:r>
          </w:p>
        </w:tc>
        <w:tc>
          <w:tcPr>
            <w:tcW w:w="6996" w:type="dxa"/>
            <w:vAlign w:val="center"/>
          </w:tcPr>
          <w:p w14:paraId="3C9F1B0F">
            <w:pPr>
              <w:pStyle w:val="26"/>
            </w:pPr>
            <w:r>
              <w:rPr>
                <w:rFonts w:hint="eastAsia"/>
              </w:rPr>
              <w:t>溶剂脱沥青是利用溶剂对减压渣油中的沥青质和胶质进行选择性溶解，从而分离出脱沥青油的过程。</w:t>
            </w:r>
          </w:p>
        </w:tc>
      </w:tr>
    </w:tbl>
    <w:p w14:paraId="621F70D0">
      <w:pPr>
        <w:pStyle w:val="23"/>
        <w:ind w:firstLine="480"/>
      </w:pPr>
      <w:r>
        <w:rPr>
          <w:rFonts w:hint="eastAsia"/>
        </w:rPr>
        <w:t>炼油产业链的上游主要是原油的开采与供应。原油是炼油工业的基础原料，其质量和产量直接影响到炼油产品的种类和数量。炼油产业链的中游是炼油加工环节，即将原油通过一系列物理和化学过程转化为各种石油产品。下游是石化产品的应用领域包括能源、电气、汽车、建筑、医学等行业。炼油行业产业链如图</w:t>
      </w:r>
      <w:r>
        <w:t>1</w:t>
      </w:r>
      <w:r>
        <w:rPr>
          <w:rFonts w:hint="eastAsia"/>
        </w:rPr>
        <w:t>所示。</w:t>
      </w:r>
    </w:p>
    <w:p w14:paraId="52108A50">
      <w:pPr>
        <w:spacing w:after="156" w:line="360" w:lineRule="auto"/>
        <w:jc w:val="center"/>
        <w:rPr>
          <w:rFonts w:ascii="Times New Roman" w:hAnsi="Times New Roman" w:eastAsia="宋体" w:cs="宋体"/>
          <w:sz w:val="24"/>
          <w:szCs w:val="20"/>
        </w:rPr>
      </w:pPr>
      <w:r>
        <w:rPr>
          <w:rFonts w:ascii="Times New Roman" w:hAnsi="Times New Roman" w:eastAsia="宋体" w:cs="宋体"/>
          <w:sz w:val="24"/>
          <w:szCs w:val="20"/>
        </w:rPr>
        <w:drawing>
          <wp:inline distT="0" distB="0" distL="0" distR="0">
            <wp:extent cx="3985260" cy="2453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985260" cy="2453640"/>
                    </a:xfrm>
                    <a:prstGeom prst="rect">
                      <a:avLst/>
                    </a:prstGeom>
                    <a:noFill/>
                    <a:ln>
                      <a:noFill/>
                    </a:ln>
                  </pic:spPr>
                </pic:pic>
              </a:graphicData>
            </a:graphic>
          </wp:inline>
        </w:drawing>
      </w:r>
    </w:p>
    <w:p w14:paraId="3602C195">
      <w:pPr>
        <w:pStyle w:val="28"/>
        <w:spacing w:before="156"/>
      </w:pPr>
      <w:r>
        <w:rPr>
          <w:rFonts w:hint="eastAsia"/>
        </w:rPr>
        <w:t>图1</w:t>
      </w:r>
      <w:r>
        <w:t xml:space="preserve"> </w:t>
      </w:r>
      <w:r>
        <w:rPr>
          <w:rFonts w:hint="eastAsia"/>
        </w:rPr>
        <w:t>炼油行业产业链图</w:t>
      </w:r>
    </w:p>
    <w:p w14:paraId="47DA2E1B">
      <w:pPr>
        <w:pStyle w:val="23"/>
        <w:ind w:firstLine="480"/>
      </w:pPr>
      <w:r>
        <w:rPr>
          <w:rFonts w:hint="eastAsia"/>
        </w:rPr>
        <w:t>我国炼油能力从2016年的1489.5万桶/日增加至2023年的1913.6万桶/日，平均增速为3.6%，在消费需求的拉动下，我国炼油能力与产出在近年来均呈现高速增长。2023年，中国的炼油能力增至每年9.36亿吨，超过美国成为世界上最大的炼油国，反映我国石化产业高质量发展实现了新跨越。</w:t>
      </w:r>
    </w:p>
    <w:p w14:paraId="18279DC0">
      <w:pPr>
        <w:pStyle w:val="23"/>
        <w:ind w:firstLine="480"/>
      </w:pPr>
      <w:r>
        <w:rPr>
          <w:rFonts w:hint="eastAsia"/>
        </w:rPr>
        <w:t>在十四五减油增化战略实施的背景下，在较大程度上控制了炼油供应的增长，相当于炼油行业的供给侧改革，得益于此，2021~2023年国内炼油行业效益可圈可点。炼油产品产出从2016年的868.6万桶/日增加至2023年的1871万桶/日，平均增速为7.5%。</w:t>
      </w:r>
    </w:p>
    <w:p w14:paraId="42DB7D5B">
      <w:pPr>
        <w:pStyle w:val="23"/>
        <w:ind w:firstLine="480"/>
      </w:pPr>
      <w:r>
        <w:rPr>
          <w:rFonts w:hint="eastAsia"/>
        </w:rPr>
        <w:t>2023年我国原油产量达2.08亿吨，同比增产300万吨以上，较2018年大幅增产近1900万吨，国内原油2亿吨长期稳产的基本盘进一步夯实。海洋原油大幅上产成为关键增量，产量突破6200万吨，连续四年占全国石油增产量的60%以上。页岩油勘探开发稳步推进，新疆吉木萨尔、大庆古龙、胜利济阳3个国家级示范区及庆城页岩油田加快建设，苏北溱漳凹陷多井型试验取得商业突破，页岩油产量突破400万吨，再创新高。</w:t>
      </w:r>
    </w:p>
    <w:p w14:paraId="2EB7BB85">
      <w:pPr>
        <w:pStyle w:val="23"/>
        <w:ind w:firstLine="480"/>
      </w:pPr>
      <w:r>
        <w:rPr>
          <w:rFonts w:hint="eastAsia"/>
        </w:rPr>
        <w:t>2023年我国原油加工量增长至7.38亿吨，同比增长8.6%;炼厂平均开工率为78.9%，较上年提高5.3个百分点，均创历史最高水平。成品油产出方面，2023年国内炼厂汽、柴、煤油产量为4.44亿吨，同比增长11.1%;</w:t>
      </w:r>
      <w:r>
        <w:t xml:space="preserve"> </w:t>
      </w:r>
      <w:r>
        <w:rPr>
          <w:rFonts w:hint="eastAsia"/>
        </w:rPr>
        <w:t>汽、柴、煤油出口量为4120万吨，同比增长24.6%，结束3年回落态势。</w:t>
      </w:r>
    </w:p>
    <w:p w14:paraId="59A1B98D">
      <w:pPr>
        <w:keepNext/>
        <w:keepLines/>
        <w:numPr>
          <w:ilvl w:val="1"/>
          <w:numId w:val="1"/>
        </w:numPr>
        <w:tabs>
          <w:tab w:val="left" w:pos="0"/>
          <w:tab w:val="clear" w:pos="-330"/>
        </w:tabs>
        <w:spacing w:before="156" w:beforeLines="50" w:after="156" w:afterLines="50" w:line="360" w:lineRule="auto"/>
        <w:ind w:left="0"/>
        <w:jc w:val="left"/>
        <w:outlineLvl w:val="1"/>
        <w:rPr>
          <w:rFonts w:ascii="Times New Roman" w:hAnsi="Times New Roman" w:eastAsia="楷体_GB2312" w:cs="Times New Roman"/>
          <w:b/>
          <w:bCs/>
          <w:smallCaps/>
          <w:sz w:val="36"/>
          <w:szCs w:val="28"/>
        </w:rPr>
      </w:pPr>
      <w:bookmarkStart w:id="7" w:name="_Toc184636990"/>
      <w:r>
        <w:rPr>
          <w:rFonts w:hint="eastAsia" w:ascii="Times New Roman" w:hAnsi="Times New Roman" w:eastAsia="楷体_GB2312" w:cs="Times New Roman"/>
          <w:b/>
          <w:bCs/>
          <w:smallCaps/>
          <w:sz w:val="36"/>
          <w:szCs w:val="28"/>
        </w:rPr>
        <w:t>炼油行业碳排放与碳捕集现状</w:t>
      </w:r>
      <w:bookmarkEnd w:id="7"/>
    </w:p>
    <w:p w14:paraId="2C584711">
      <w:pPr>
        <w:pStyle w:val="23"/>
        <w:ind w:firstLine="480"/>
      </w:pPr>
      <w:r>
        <w:rPr>
          <w:rFonts w:hint="eastAsia"/>
        </w:rPr>
        <w:t>根据《国家发展改革委等部门关于印发&lt;炼油行业节能降碳专项行动计划&gt;的通知》(发改环资[2024]731号)，国家提出到 2025 年底，全国原油一次加工能力控制在10亿吨以内，炼油行业能源资源利用效率进一步提升，能效标杆水平以上产能占比超过30%，能效基准水平以下产能完成技术改造或淘汰退出2024-2025年，通过实施炼油行业节能降碳改造和用能设备更新形成节能量约 200万吨标准煤、减排二氧化碳约500万吨。</w:t>
      </w:r>
    </w:p>
    <w:p w14:paraId="51AB1FC8">
      <w:pPr>
        <w:pStyle w:val="23"/>
        <w:ind w:firstLine="480"/>
      </w:pPr>
      <w:r>
        <w:rPr>
          <w:rFonts w:hint="eastAsia"/>
        </w:rPr>
        <w:t>到2030年底，炼油行业布局进一步优化，能效标杆水平以上产能占比持续提升，主要用能设备能效基本达到先进水平。炼油行业能源资源利用效率达到国际先进水平，生产过程绿电、绿氢消费占比明显提升，炼油行业绿色低碳发展取得显著成效。</w:t>
      </w:r>
    </w:p>
    <w:p w14:paraId="1ED8DD47">
      <w:pPr>
        <w:pStyle w:val="23"/>
        <w:ind w:firstLine="480"/>
      </w:pPr>
      <w:r>
        <w:rPr>
          <w:rFonts w:hint="eastAsia"/>
        </w:rPr>
        <w:t>本次调研了陕西、内蒙古、宁夏、新疆四个省、自治区共</w:t>
      </w:r>
      <w:r>
        <w:t>31家炼油企业，包括4个炼油产业示范区。本次调研主要针对炼油行业废气及废水污染物治理措施进行研究，油品、化学品的储运不纳入本标准，煤直接液化、油品储罐的污染治理措施纳入石油化工行业进行研究。为保证数据有效性，综合考虑各省份现有炼油产业现状及污染物排放现状，合成气后续工序不纳入本次调研范围；废水污染物治理措施的研究主要集中在污水处理装置。</w:t>
      </w:r>
    </w:p>
    <w:p w14:paraId="22B8E869">
      <w:pPr>
        <w:pStyle w:val="23"/>
        <w:ind w:firstLine="480"/>
      </w:pPr>
      <w:r>
        <w:rPr>
          <w:rFonts w:hint="eastAsia"/>
        </w:rPr>
        <w:t>经过调研，废气污染物源头管控措施主要包括原油蒸馏、催化裂化、加氢裂化等工艺的优化；废气污染物末端治理包括延迟焦化装置排放非甲烷总烃的治理措施，酸性气处理工序排放二氧化硫的治理措施，以及锅炉排放的颗粒物、二氧化硫、氮氧化物等污染物的治理措施。废水污染物治理措施依据处理水质的不同，分为前处理、深度处理和蒸发结晶三部分。</w:t>
      </w:r>
    </w:p>
    <w:p w14:paraId="79B4E8F7">
      <w:pPr>
        <w:pStyle w:val="23"/>
        <w:ind w:firstLine="480"/>
      </w:pPr>
      <w:r>
        <w:rPr>
          <w:rFonts w:hint="eastAsia"/>
        </w:rPr>
        <w:t>根据调研数据分析，炼油行业现有生产装置锅炉污染物排放与产品、能效等因素关系密切，影响因素复杂，与炼油行业关联性较低，因此不纳入本标准；炼油行业废气污染物排放集中在原油加工段，二氧化碳主要通过催化裂化装置排放，现有工艺路线包括常压蒸馏、催化裂化及加氢裂化三种，因此将原油加工工艺的选择作为主要源头管控措施进行研究，评价对象为催化裂化装置直接碳排放水平；催化裂化工序的主要源项为催化裂化装置排放尾气，其主要污染物为非甲烷总烃，因此将催化裂化装置尾气非甲烷总烃的治理措施作为末端治理的典型措施进行研究；蒸发结晶系统二氧化碳排放水平明显高于前处理和深度处理阶段，因此将蒸发结晶系统作为炼油废水污染物典型治理措施进行研究。</w:t>
      </w:r>
    </w:p>
    <w:p w14:paraId="2C5A41E5">
      <w:pPr>
        <w:keepNext/>
        <w:keepLines/>
        <w:numPr>
          <w:ilvl w:val="2"/>
          <w:numId w:val="1"/>
        </w:numPr>
        <w:tabs>
          <w:tab w:val="left" w:pos="720"/>
          <w:tab w:val="clear" w:pos="390"/>
        </w:tabs>
        <w:spacing w:before="156" w:beforeLines="50" w:after="156" w:afterLines="50" w:line="360" w:lineRule="auto"/>
        <w:ind w:left="720"/>
        <w:outlineLvl w:val="2"/>
        <w:rPr>
          <w:rFonts w:ascii="Times New Roman" w:hAnsi="Times New Roman" w:eastAsia="华文楷体" w:cs="Times New Roman"/>
          <w:b/>
          <w:bCs/>
          <w:sz w:val="32"/>
          <w:szCs w:val="21"/>
        </w:rPr>
      </w:pPr>
      <w:bookmarkStart w:id="8" w:name="_Toc184636991"/>
      <w:r>
        <w:rPr>
          <w:rFonts w:hint="eastAsia" w:ascii="Times New Roman" w:hAnsi="Times New Roman" w:eastAsia="华文楷体" w:cs="Times New Roman"/>
          <w:b/>
          <w:bCs/>
          <w:sz w:val="32"/>
          <w:szCs w:val="21"/>
        </w:rPr>
        <w:t>炼油行业典型工艺过程</w:t>
      </w:r>
      <w:bookmarkEnd w:id="8"/>
    </w:p>
    <w:p w14:paraId="6C42110C">
      <w:pPr>
        <w:pStyle w:val="23"/>
        <w:ind w:firstLine="480"/>
      </w:pPr>
      <w:r>
        <w:rPr>
          <w:rFonts w:hint="eastAsia"/>
        </w:rPr>
        <w:t>炼油行业的CO</w:t>
      </w:r>
      <w:r>
        <w:rPr>
          <w:rFonts w:hint="eastAsia"/>
          <w:vertAlign w:val="subscript"/>
        </w:rPr>
        <w:t>2</w:t>
      </w:r>
      <w:r>
        <w:rPr>
          <w:rFonts w:hint="eastAsia"/>
        </w:rPr>
        <w:t>排放主要来源于燃料消耗、工艺过程和间接排放。</w:t>
      </w:r>
    </w:p>
    <w:p w14:paraId="3D94DDFD">
      <w:pPr>
        <w:pStyle w:val="23"/>
        <w:ind w:firstLine="480"/>
      </w:pPr>
      <w:r>
        <w:rPr>
          <w:rFonts w:hint="eastAsia"/>
        </w:rPr>
        <w:t>典型炼油厂碳排放构成如表</w:t>
      </w:r>
      <w:r>
        <w:t>2</w:t>
      </w:r>
      <w:r>
        <w:rPr>
          <w:rFonts w:hint="eastAsia"/>
        </w:rPr>
        <w:t>所示：</w:t>
      </w:r>
    </w:p>
    <w:p w14:paraId="13150AA7">
      <w:pPr>
        <w:pStyle w:val="28"/>
        <w:spacing w:before="156"/>
      </w:pPr>
      <w:r>
        <w:rPr>
          <w:rFonts w:hint="eastAsia"/>
        </w:rPr>
        <w:t>表</w:t>
      </w:r>
      <w:r>
        <w:t>2</w:t>
      </w:r>
      <w:r>
        <w:rPr>
          <w:rFonts w:hint="eastAsia"/>
        </w:rPr>
        <w:t xml:space="preserve"> 典型炼油厂碳排放构成</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0"/>
        <w:gridCol w:w="1199"/>
        <w:gridCol w:w="2250"/>
      </w:tblGrid>
      <w:tr w14:paraId="6B0D6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20" w:type="dxa"/>
            <w:shd w:val="clear" w:color="auto" w:fill="auto"/>
            <w:vAlign w:val="center"/>
          </w:tcPr>
          <w:p w14:paraId="2946770B">
            <w:pPr>
              <w:pStyle w:val="26"/>
            </w:pPr>
            <w:r>
              <w:t>项目</w:t>
            </w:r>
          </w:p>
        </w:tc>
        <w:tc>
          <w:tcPr>
            <w:tcW w:w="1199" w:type="dxa"/>
            <w:shd w:val="clear" w:color="auto" w:fill="auto"/>
            <w:vAlign w:val="center"/>
          </w:tcPr>
          <w:p w14:paraId="0F51BAB0">
            <w:pPr>
              <w:pStyle w:val="26"/>
            </w:pPr>
            <w:r>
              <w:t>燃料型</w:t>
            </w:r>
          </w:p>
        </w:tc>
        <w:tc>
          <w:tcPr>
            <w:tcW w:w="2250" w:type="dxa"/>
            <w:shd w:val="clear" w:color="auto" w:fill="auto"/>
            <w:vAlign w:val="center"/>
          </w:tcPr>
          <w:p w14:paraId="4D73B5AC">
            <w:pPr>
              <w:pStyle w:val="26"/>
            </w:pPr>
            <w:r>
              <w:t>燃料型炼化一体化型</w:t>
            </w:r>
          </w:p>
        </w:tc>
      </w:tr>
      <w:tr w14:paraId="12305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0" w:type="dxa"/>
            <w:shd w:val="clear" w:color="auto" w:fill="auto"/>
            <w:vAlign w:val="center"/>
          </w:tcPr>
          <w:p w14:paraId="7C86715F">
            <w:pPr>
              <w:pStyle w:val="26"/>
            </w:pPr>
            <w:r>
              <w:t>直接排放比例(%)</w:t>
            </w:r>
          </w:p>
        </w:tc>
        <w:tc>
          <w:tcPr>
            <w:tcW w:w="1199" w:type="dxa"/>
            <w:shd w:val="clear" w:color="auto" w:fill="auto"/>
            <w:vAlign w:val="center"/>
          </w:tcPr>
          <w:p w14:paraId="4CB842D2">
            <w:pPr>
              <w:pStyle w:val="26"/>
            </w:pPr>
            <w:r>
              <w:t>50</w:t>
            </w:r>
          </w:p>
        </w:tc>
        <w:tc>
          <w:tcPr>
            <w:tcW w:w="2250" w:type="dxa"/>
            <w:shd w:val="clear" w:color="auto" w:fill="auto"/>
            <w:vAlign w:val="center"/>
          </w:tcPr>
          <w:p w14:paraId="53E84F20">
            <w:pPr>
              <w:pStyle w:val="26"/>
            </w:pPr>
            <w:r>
              <w:t>54.6</w:t>
            </w:r>
          </w:p>
        </w:tc>
      </w:tr>
      <w:tr w14:paraId="12BB1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0" w:type="dxa"/>
            <w:shd w:val="clear" w:color="auto" w:fill="auto"/>
            <w:vAlign w:val="center"/>
          </w:tcPr>
          <w:p w14:paraId="640C3B69">
            <w:pPr>
              <w:pStyle w:val="26"/>
            </w:pPr>
            <w:r>
              <w:t>燃烧排放(%)</w:t>
            </w:r>
          </w:p>
        </w:tc>
        <w:tc>
          <w:tcPr>
            <w:tcW w:w="1199" w:type="dxa"/>
            <w:shd w:val="clear" w:color="auto" w:fill="auto"/>
            <w:vAlign w:val="center"/>
          </w:tcPr>
          <w:p w14:paraId="4450085B">
            <w:pPr>
              <w:pStyle w:val="26"/>
            </w:pPr>
            <w:r>
              <w:t>50</w:t>
            </w:r>
          </w:p>
        </w:tc>
        <w:tc>
          <w:tcPr>
            <w:tcW w:w="2250" w:type="dxa"/>
            <w:shd w:val="clear" w:color="auto" w:fill="auto"/>
            <w:vAlign w:val="center"/>
          </w:tcPr>
          <w:p w14:paraId="4D5D6366">
            <w:pPr>
              <w:pStyle w:val="26"/>
            </w:pPr>
            <w:r>
              <w:t>54.6</w:t>
            </w:r>
          </w:p>
        </w:tc>
      </w:tr>
    </w:tbl>
    <w:p w14:paraId="42E68C06">
      <w:pPr>
        <w:pStyle w:val="23"/>
        <w:ind w:firstLine="480"/>
      </w:pPr>
      <w:r>
        <w:rPr>
          <w:rFonts w:hint="eastAsia"/>
        </w:rPr>
        <w:t>以下是炼油行业CO</w:t>
      </w:r>
      <w:r>
        <w:rPr>
          <w:rFonts w:hint="eastAsia"/>
          <w:vertAlign w:val="subscript"/>
        </w:rPr>
        <w:t>2</w:t>
      </w:r>
      <w:r>
        <w:rPr>
          <w:rFonts w:hint="eastAsia"/>
        </w:rPr>
        <w:t>排放的一些具体情况：</w:t>
      </w:r>
    </w:p>
    <w:p w14:paraId="21969CC5">
      <w:pPr>
        <w:pStyle w:val="23"/>
        <w:ind w:firstLine="480"/>
      </w:pPr>
      <w:r>
        <w:rPr>
          <w:rFonts w:hint="eastAsia"/>
        </w:rPr>
        <w:t>1. CO</w:t>
      </w:r>
      <w:r>
        <w:rPr>
          <w:rFonts w:hint="eastAsia"/>
          <w:vertAlign w:val="subscript"/>
        </w:rPr>
        <w:t>2</w:t>
      </w:r>
      <w:r>
        <w:rPr>
          <w:rFonts w:hint="eastAsia"/>
        </w:rPr>
        <w:t>排放量：2019年中国炼油行业的总二氧化碳排放量为164.4 Mt（百万吨），单位碳排放量约为0.25 t CO</w:t>
      </w:r>
      <w:r>
        <w:rPr>
          <w:rFonts w:hint="eastAsia"/>
          <w:vertAlign w:val="subscript"/>
        </w:rPr>
        <w:t>2</w:t>
      </w:r>
      <w:r>
        <w:rPr>
          <w:rFonts w:hint="eastAsia"/>
        </w:rPr>
        <w:t>/t原油。</w:t>
      </w:r>
    </w:p>
    <w:p w14:paraId="2A08FC32">
      <w:pPr>
        <w:pStyle w:val="23"/>
        <w:ind w:firstLine="480"/>
      </w:pPr>
      <w:r>
        <w:rPr>
          <w:rFonts w:hint="eastAsia"/>
        </w:rPr>
        <w:t>2. 工艺排放：炼油过程的工艺碳排放主要来自催化裂化装置和制氢装置，其他装置烧焦量较小，计算中忽略不计。</w:t>
      </w:r>
    </w:p>
    <w:p w14:paraId="35BFE0B5">
      <w:pPr>
        <w:pStyle w:val="23"/>
        <w:ind w:firstLine="480"/>
      </w:pPr>
      <w:r>
        <w:rPr>
          <w:rFonts w:hint="eastAsia"/>
        </w:rPr>
        <w:t>3. 间接排放：炼油过程的间接碳排放主要来自外购的电力。根据2019年我国40家典型炼油企业的外购电力数据，折算出全国炼油行业的相应数据，并根据SH/T 5000—2011计算得到其二氧化碳排放量为12.86 Mt。</w:t>
      </w:r>
    </w:p>
    <w:p w14:paraId="1D1C51BA">
      <w:pPr>
        <w:pStyle w:val="23"/>
        <w:ind w:firstLine="480"/>
      </w:pPr>
      <w:r>
        <w:rPr>
          <w:rFonts w:hint="eastAsia"/>
        </w:rPr>
        <w:t>4. 全球炼油业二氧化碳排放趋势：2000年至2018年，全球炼油业二氧化碳排放空间分布模式显著变化，二氧化碳排放的空间热点逐渐从欧美东移至亚洲地区。中国和印度的炼油厂的二氧化碳排放量持续、稳定增长，其占全球炼油厂二氧化碳排放的比例分别从2000年的6%和3%攀升到2018年的16%和7%。</w:t>
      </w:r>
    </w:p>
    <w:p w14:paraId="62781B78">
      <w:pPr>
        <w:pStyle w:val="23"/>
        <w:ind w:firstLine="480"/>
      </w:pPr>
      <w:r>
        <w:rPr>
          <w:rFonts w:hint="eastAsia"/>
        </w:rPr>
        <w:t>炼油行业中使用的电和消耗的油气燃料所排放的污染物量详见表</w:t>
      </w:r>
      <w:r>
        <w:t>3</w:t>
      </w:r>
      <w:r>
        <w:rPr>
          <w:rFonts w:hint="eastAsia"/>
        </w:rPr>
        <w:t>：</w:t>
      </w:r>
    </w:p>
    <w:p w14:paraId="5F711B04">
      <w:pPr>
        <w:pStyle w:val="28"/>
        <w:spacing w:before="156"/>
        <w:rPr>
          <w:rFonts w:hint="eastAsia"/>
        </w:rPr>
      </w:pPr>
    </w:p>
    <w:p w14:paraId="34C2AEB3">
      <w:pPr>
        <w:pStyle w:val="28"/>
        <w:spacing w:before="156"/>
      </w:pPr>
      <w:r>
        <w:rPr>
          <w:rFonts w:hint="eastAsia"/>
        </w:rPr>
        <w:t>表</w:t>
      </w:r>
      <w:r>
        <w:t>3</w:t>
      </w:r>
      <w:r>
        <w:rPr>
          <w:rFonts w:hint="eastAsia"/>
        </w:rPr>
        <w:t xml:space="preserve"> 发电和油气燃烧排放的污染物及温室气体量（g）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217"/>
        <w:gridCol w:w="1217"/>
        <w:gridCol w:w="1217"/>
        <w:gridCol w:w="1218"/>
        <w:gridCol w:w="1218"/>
        <w:gridCol w:w="1218"/>
      </w:tblGrid>
      <w:tr w14:paraId="7C7F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shd w:val="clear" w:color="auto" w:fill="auto"/>
            <w:vAlign w:val="center"/>
          </w:tcPr>
          <w:p w14:paraId="2BB4D648">
            <w:pPr>
              <w:pStyle w:val="26"/>
            </w:pPr>
            <w:r>
              <w:rPr>
                <w:rFonts w:hint="eastAsia"/>
              </w:rPr>
              <w:t>项目</w:t>
            </w:r>
          </w:p>
        </w:tc>
        <w:tc>
          <w:tcPr>
            <w:tcW w:w="1217" w:type="dxa"/>
            <w:shd w:val="clear" w:color="auto" w:fill="auto"/>
            <w:vAlign w:val="center"/>
          </w:tcPr>
          <w:p w14:paraId="538D460C">
            <w:pPr>
              <w:pStyle w:val="26"/>
            </w:pPr>
            <w:r>
              <w:rPr>
                <w:rFonts w:hint="eastAsia"/>
              </w:rPr>
              <w:t>S</w:t>
            </w:r>
            <w:r>
              <w:t>O</w:t>
            </w:r>
            <w:r>
              <w:rPr>
                <w:vertAlign w:val="subscript"/>
              </w:rPr>
              <w:t>2</w:t>
            </w:r>
          </w:p>
        </w:tc>
        <w:tc>
          <w:tcPr>
            <w:tcW w:w="1217" w:type="dxa"/>
            <w:shd w:val="clear" w:color="auto" w:fill="auto"/>
            <w:vAlign w:val="center"/>
          </w:tcPr>
          <w:p w14:paraId="6DC5158B">
            <w:pPr>
              <w:pStyle w:val="26"/>
            </w:pPr>
            <w:r>
              <w:rPr>
                <w:rFonts w:hint="eastAsia"/>
              </w:rPr>
              <w:t>C</w:t>
            </w:r>
            <w:r>
              <w:t>O</w:t>
            </w:r>
          </w:p>
        </w:tc>
        <w:tc>
          <w:tcPr>
            <w:tcW w:w="1217" w:type="dxa"/>
            <w:shd w:val="clear" w:color="auto" w:fill="auto"/>
            <w:vAlign w:val="center"/>
          </w:tcPr>
          <w:p w14:paraId="3CD877DF">
            <w:pPr>
              <w:pStyle w:val="26"/>
            </w:pPr>
            <w:r>
              <w:rPr>
                <w:rFonts w:hint="eastAsia"/>
              </w:rPr>
              <w:t>N</w:t>
            </w:r>
            <w:r>
              <w:t>O</w:t>
            </w:r>
            <w:r>
              <w:rPr>
                <w:vertAlign w:val="subscript"/>
              </w:rPr>
              <w:t>X</w:t>
            </w:r>
          </w:p>
        </w:tc>
        <w:tc>
          <w:tcPr>
            <w:tcW w:w="1218" w:type="dxa"/>
            <w:shd w:val="clear" w:color="auto" w:fill="auto"/>
            <w:vAlign w:val="center"/>
          </w:tcPr>
          <w:p w14:paraId="577B81F3">
            <w:pPr>
              <w:pStyle w:val="26"/>
            </w:pPr>
            <w:r>
              <w:rPr>
                <w:rFonts w:hint="eastAsia"/>
              </w:rPr>
              <w:t>烟尘</w:t>
            </w:r>
          </w:p>
        </w:tc>
        <w:tc>
          <w:tcPr>
            <w:tcW w:w="1218" w:type="dxa"/>
            <w:shd w:val="clear" w:color="auto" w:fill="auto"/>
            <w:vAlign w:val="center"/>
          </w:tcPr>
          <w:p w14:paraId="38351C3F">
            <w:pPr>
              <w:pStyle w:val="26"/>
            </w:pPr>
            <w:r>
              <w:rPr>
                <w:rFonts w:hint="eastAsia"/>
              </w:rPr>
              <w:t>C</w:t>
            </w:r>
            <w:r>
              <w:t>O</w:t>
            </w:r>
            <w:r>
              <w:rPr>
                <w:vertAlign w:val="subscript"/>
              </w:rPr>
              <w:t>2</w:t>
            </w:r>
          </w:p>
        </w:tc>
        <w:tc>
          <w:tcPr>
            <w:tcW w:w="1218" w:type="dxa"/>
            <w:shd w:val="clear" w:color="auto" w:fill="auto"/>
            <w:vAlign w:val="center"/>
          </w:tcPr>
          <w:p w14:paraId="688975F9">
            <w:pPr>
              <w:pStyle w:val="26"/>
            </w:pPr>
            <w:r>
              <w:rPr>
                <w:rFonts w:hint="eastAsia"/>
              </w:rPr>
              <w:t>当量C</w:t>
            </w:r>
            <w:r>
              <w:t>O</w:t>
            </w:r>
            <w:r>
              <w:rPr>
                <w:vertAlign w:val="subscript"/>
              </w:rPr>
              <w:t>2</w:t>
            </w:r>
          </w:p>
        </w:tc>
      </w:tr>
      <w:tr w14:paraId="7BB8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shd w:val="clear" w:color="auto" w:fill="auto"/>
            <w:vAlign w:val="center"/>
          </w:tcPr>
          <w:p w14:paraId="4E6FF401">
            <w:pPr>
              <w:pStyle w:val="26"/>
            </w:pPr>
            <w:r>
              <w:rPr>
                <w:rFonts w:hint="eastAsia"/>
              </w:rPr>
              <w:t>每度电产生的排放</w:t>
            </w:r>
          </w:p>
        </w:tc>
        <w:tc>
          <w:tcPr>
            <w:tcW w:w="1217" w:type="dxa"/>
            <w:shd w:val="clear" w:color="auto" w:fill="auto"/>
            <w:vAlign w:val="center"/>
          </w:tcPr>
          <w:p w14:paraId="37F0BB48">
            <w:pPr>
              <w:pStyle w:val="26"/>
            </w:pPr>
            <w:r>
              <w:rPr>
                <w:rFonts w:hint="eastAsia"/>
              </w:rPr>
              <w:t>7</w:t>
            </w:r>
          </w:p>
        </w:tc>
        <w:tc>
          <w:tcPr>
            <w:tcW w:w="1217" w:type="dxa"/>
            <w:shd w:val="clear" w:color="auto" w:fill="auto"/>
            <w:vAlign w:val="center"/>
          </w:tcPr>
          <w:p w14:paraId="294D88BB">
            <w:pPr>
              <w:pStyle w:val="26"/>
            </w:pPr>
            <w:r>
              <w:rPr>
                <w:rFonts w:hint="eastAsia"/>
              </w:rPr>
              <w:t>1</w:t>
            </w:r>
            <w:r>
              <w:t>.00</w:t>
            </w:r>
          </w:p>
        </w:tc>
        <w:tc>
          <w:tcPr>
            <w:tcW w:w="1217" w:type="dxa"/>
            <w:shd w:val="clear" w:color="auto" w:fill="auto"/>
            <w:vAlign w:val="center"/>
          </w:tcPr>
          <w:p w14:paraId="1E834407">
            <w:pPr>
              <w:pStyle w:val="26"/>
            </w:pPr>
            <w:r>
              <w:rPr>
                <w:rFonts w:hint="eastAsia"/>
              </w:rPr>
              <w:t>3</w:t>
            </w:r>
            <w:r>
              <w:t>.00</w:t>
            </w:r>
          </w:p>
        </w:tc>
        <w:tc>
          <w:tcPr>
            <w:tcW w:w="1218" w:type="dxa"/>
            <w:shd w:val="clear" w:color="auto" w:fill="auto"/>
            <w:vAlign w:val="center"/>
          </w:tcPr>
          <w:p w14:paraId="2CD58F12">
            <w:pPr>
              <w:pStyle w:val="26"/>
            </w:pPr>
            <w:r>
              <w:rPr>
                <w:rFonts w:hint="eastAsia"/>
              </w:rPr>
              <w:t>1</w:t>
            </w:r>
          </w:p>
        </w:tc>
        <w:tc>
          <w:tcPr>
            <w:tcW w:w="1218" w:type="dxa"/>
            <w:shd w:val="clear" w:color="auto" w:fill="auto"/>
            <w:vAlign w:val="center"/>
          </w:tcPr>
          <w:p w14:paraId="17DE66CE">
            <w:pPr>
              <w:pStyle w:val="26"/>
            </w:pPr>
            <w:r>
              <w:rPr>
                <w:rFonts w:hint="eastAsia"/>
              </w:rPr>
              <w:t>1</w:t>
            </w:r>
            <w:r>
              <w:t>000</w:t>
            </w:r>
          </w:p>
        </w:tc>
        <w:tc>
          <w:tcPr>
            <w:tcW w:w="1218" w:type="dxa"/>
            <w:shd w:val="clear" w:color="auto" w:fill="auto"/>
            <w:vAlign w:val="center"/>
          </w:tcPr>
          <w:p w14:paraId="4A1AA854">
            <w:pPr>
              <w:pStyle w:val="26"/>
            </w:pPr>
            <w:r>
              <w:rPr>
                <w:rFonts w:hint="eastAsia"/>
              </w:rPr>
              <w:t>1</w:t>
            </w:r>
            <w:r>
              <w:t>162</w:t>
            </w:r>
          </w:p>
        </w:tc>
      </w:tr>
      <w:tr w14:paraId="6102D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shd w:val="clear" w:color="auto" w:fill="auto"/>
            <w:vAlign w:val="center"/>
          </w:tcPr>
          <w:p w14:paraId="7035BDFC">
            <w:pPr>
              <w:pStyle w:val="26"/>
            </w:pPr>
            <w:r>
              <w:rPr>
                <w:rFonts w:hint="eastAsia"/>
              </w:rPr>
              <w:t>每千克油气燃料产生的排放</w:t>
            </w:r>
          </w:p>
        </w:tc>
        <w:tc>
          <w:tcPr>
            <w:tcW w:w="1217" w:type="dxa"/>
            <w:shd w:val="clear" w:color="auto" w:fill="auto"/>
            <w:vAlign w:val="center"/>
          </w:tcPr>
          <w:p w14:paraId="58C662DC">
            <w:pPr>
              <w:pStyle w:val="26"/>
            </w:pPr>
            <w:r>
              <w:rPr>
                <w:rFonts w:hint="eastAsia"/>
              </w:rPr>
              <w:t>1</w:t>
            </w:r>
            <w:r>
              <w:t>0</w:t>
            </w:r>
          </w:p>
        </w:tc>
        <w:tc>
          <w:tcPr>
            <w:tcW w:w="1217" w:type="dxa"/>
            <w:shd w:val="clear" w:color="auto" w:fill="auto"/>
            <w:vAlign w:val="center"/>
          </w:tcPr>
          <w:p w14:paraId="4DCB6491">
            <w:pPr>
              <w:pStyle w:val="26"/>
            </w:pPr>
            <w:r>
              <w:rPr>
                <w:rFonts w:hint="eastAsia"/>
              </w:rPr>
              <w:t>3</w:t>
            </w:r>
            <w:r>
              <w:t>9.61</w:t>
            </w:r>
          </w:p>
        </w:tc>
        <w:tc>
          <w:tcPr>
            <w:tcW w:w="1217" w:type="dxa"/>
            <w:shd w:val="clear" w:color="auto" w:fill="auto"/>
            <w:vAlign w:val="center"/>
          </w:tcPr>
          <w:p w14:paraId="0EDDF5EE">
            <w:pPr>
              <w:pStyle w:val="26"/>
            </w:pPr>
            <w:r>
              <w:rPr>
                <w:rFonts w:hint="eastAsia"/>
              </w:rPr>
              <w:t>4</w:t>
            </w:r>
            <w:r>
              <w:t>.58</w:t>
            </w:r>
          </w:p>
        </w:tc>
        <w:tc>
          <w:tcPr>
            <w:tcW w:w="1218" w:type="dxa"/>
            <w:shd w:val="clear" w:color="auto" w:fill="auto"/>
            <w:vAlign w:val="center"/>
          </w:tcPr>
          <w:p w14:paraId="74306A79">
            <w:pPr>
              <w:pStyle w:val="26"/>
            </w:pPr>
            <w:r>
              <w:rPr>
                <w:rFonts w:hint="eastAsia"/>
              </w:rPr>
              <w:t>2</w:t>
            </w:r>
          </w:p>
        </w:tc>
        <w:tc>
          <w:tcPr>
            <w:tcW w:w="1218" w:type="dxa"/>
            <w:shd w:val="clear" w:color="auto" w:fill="auto"/>
            <w:vAlign w:val="center"/>
          </w:tcPr>
          <w:p w14:paraId="00719AF3">
            <w:pPr>
              <w:pStyle w:val="26"/>
            </w:pPr>
            <w:r>
              <w:rPr>
                <w:rFonts w:hint="eastAsia"/>
              </w:rPr>
              <w:t>3</w:t>
            </w:r>
            <w:r>
              <w:t>145</w:t>
            </w:r>
          </w:p>
        </w:tc>
        <w:tc>
          <w:tcPr>
            <w:tcW w:w="1218" w:type="dxa"/>
            <w:shd w:val="clear" w:color="auto" w:fill="auto"/>
            <w:vAlign w:val="center"/>
          </w:tcPr>
          <w:p w14:paraId="2151FA7A">
            <w:pPr>
              <w:pStyle w:val="26"/>
            </w:pPr>
            <w:r>
              <w:rPr>
                <w:rFonts w:hint="eastAsia"/>
              </w:rPr>
              <w:t>3</w:t>
            </w:r>
            <w:r>
              <w:t>392</w:t>
            </w:r>
          </w:p>
        </w:tc>
      </w:tr>
    </w:tbl>
    <w:p w14:paraId="44C5FAF6">
      <w:pPr>
        <w:pStyle w:val="23"/>
        <w:ind w:firstLine="480"/>
      </w:pPr>
      <w:r>
        <w:rPr>
          <w:rFonts w:hint="eastAsia"/>
        </w:rPr>
        <w:t>炼油行业常减压、催化裂化、延迟焦化、催化重整、加氢裂化、制氢等工艺介绍如下。</w:t>
      </w:r>
    </w:p>
    <w:p w14:paraId="0E14D3A0">
      <w:pPr>
        <w:pStyle w:val="23"/>
        <w:ind w:firstLine="482"/>
        <w:rPr>
          <w:b/>
          <w:bCs/>
        </w:rPr>
      </w:pPr>
      <w:r>
        <w:rPr>
          <w:rFonts w:hint="eastAsia"/>
          <w:b/>
          <w:bCs/>
        </w:rPr>
        <w:t>常减压蒸馏</w:t>
      </w:r>
    </w:p>
    <w:p w14:paraId="50075965">
      <w:pPr>
        <w:pStyle w:val="23"/>
        <w:ind w:firstLine="480"/>
        <w:rPr>
          <w:rFonts w:cs="Times New Roman"/>
        </w:rPr>
      </w:pPr>
      <w:r>
        <w:rPr>
          <w:rFonts w:cs="Times New Roman"/>
        </w:rPr>
        <w:t>目前大型炼油厂多采用的原油常减压蒸馏流程为三段汽化流程，典型的常减压流程工艺如图2所示。</w:t>
      </w:r>
    </w:p>
    <w:p w14:paraId="44FD6157">
      <w:pPr>
        <w:pStyle w:val="23"/>
        <w:ind w:firstLine="0" w:firstLineChars="0"/>
        <w:jc w:val="center"/>
      </w:pPr>
      <w:r>
        <w:drawing>
          <wp:inline distT="0" distB="0" distL="0" distR="0">
            <wp:extent cx="5269865" cy="2767330"/>
            <wp:effectExtent l="0" t="0" r="6985" b="0"/>
            <wp:docPr id="1502805737" name="图片 8"/>
            <wp:cNvGraphicFramePr/>
            <a:graphic xmlns:a="http://schemas.openxmlformats.org/drawingml/2006/main">
              <a:graphicData uri="http://schemas.openxmlformats.org/drawingml/2006/picture">
                <pic:pic xmlns:pic="http://schemas.openxmlformats.org/drawingml/2006/picture">
                  <pic:nvPicPr>
                    <pic:cNvPr id="1502805737" name="图片 8"/>
                    <pic:cNvPicPr preferRelativeResize="0">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69865" cy="2767330"/>
                    </a:xfrm>
                    <a:prstGeom prst="rect">
                      <a:avLst/>
                    </a:prstGeom>
                    <a:noFill/>
                    <a:ln>
                      <a:noFill/>
                    </a:ln>
                  </pic:spPr>
                </pic:pic>
              </a:graphicData>
            </a:graphic>
          </wp:inline>
        </w:drawing>
      </w:r>
    </w:p>
    <w:p w14:paraId="478C24CA">
      <w:pPr>
        <w:pStyle w:val="30"/>
        <w:spacing w:after="156"/>
      </w:pPr>
      <w:r>
        <w:rPr>
          <w:rFonts w:hint="eastAsia"/>
        </w:rPr>
        <w:t>图</w:t>
      </w:r>
      <w:r>
        <w:t>2</w:t>
      </w:r>
      <w:r>
        <w:rPr>
          <w:rFonts w:hint="eastAsia"/>
        </w:rPr>
        <w:t xml:space="preserve"> 常减压流程工艺图</w:t>
      </w:r>
    </w:p>
    <w:p w14:paraId="666C3F95">
      <w:pPr>
        <w:pStyle w:val="23"/>
        <w:ind w:firstLine="480"/>
        <w:rPr>
          <w:rFonts w:cs="Times New Roman"/>
        </w:rPr>
      </w:pPr>
      <w:r>
        <w:rPr>
          <w:rFonts w:cs="Times New Roman"/>
        </w:rPr>
        <w:t>原油经脱盐脱水后，通过换热至190~225℃进入初馏塔，产出轻汽油或重整原料。初塔顶部分回流，其余作为重整原料。初塔底油（拔头原油）经换热至290℃后进入常压炉，加热至359~368℃后进入常压塔。塔顶汽油部分回流，其余为产品。常压塔侧线引出煤油和柴油等，经汽提塔汽提后出装置。塔底重油送入减压炉，加热至388~408℃后进减压塔。减压塔顶不凝气和水蒸气经冷凝器冷却后，由蒸汽喷射抽空器抽出，维持塔内残压。减压塔侧线抽出不同润油或裂化原料，经汽提、换热、冷却后出装置。塔底渣油经换热、冷却后出装置，可作为其他装置原料或燃料用油。常压塔顶打入冷回流控制温度，保证产品质量，塔各侧线间设中段循环回流，充分利用热能。部分装置增设塔顶循环回流以回收热量，降低冷凝器负荷。</w:t>
      </w:r>
    </w:p>
    <w:p w14:paraId="61D02E0A">
      <w:pPr>
        <w:pStyle w:val="23"/>
        <w:ind w:firstLine="482"/>
        <w:rPr>
          <w:b/>
          <w:bCs/>
        </w:rPr>
      </w:pPr>
      <w:r>
        <w:rPr>
          <w:rFonts w:hint="eastAsia"/>
          <w:b/>
          <w:bCs/>
        </w:rPr>
        <w:t>催化裂化</w:t>
      </w:r>
    </w:p>
    <w:p w14:paraId="0A831997">
      <w:pPr>
        <w:pStyle w:val="23"/>
        <w:ind w:firstLine="480"/>
      </w:pPr>
      <w:r>
        <w:rPr>
          <w:rFonts w:hint="eastAsia"/>
        </w:rPr>
        <w:t>典型的催化裂化装置工艺流程如图</w:t>
      </w:r>
      <w:r>
        <w:t>3</w:t>
      </w:r>
      <w:r>
        <w:rPr>
          <w:rFonts w:hint="eastAsia"/>
        </w:rPr>
        <w:t>所示。</w:t>
      </w:r>
    </w:p>
    <w:p w14:paraId="6279752B">
      <w:pPr>
        <w:pStyle w:val="23"/>
        <w:ind w:firstLine="0" w:firstLineChars="0"/>
        <w:jc w:val="center"/>
      </w:pPr>
      <w:r>
        <w:drawing>
          <wp:inline distT="0" distB="0" distL="0" distR="0">
            <wp:extent cx="5125720" cy="2799080"/>
            <wp:effectExtent l="0" t="0" r="0" b="1270"/>
            <wp:docPr id="2749981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998114" name="图片 9"/>
                    <pic:cNvPicPr preferRelativeResize="0">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125720" cy="2799080"/>
                    </a:xfrm>
                    <a:prstGeom prst="rect">
                      <a:avLst/>
                    </a:prstGeom>
                    <a:noFill/>
                    <a:ln>
                      <a:noFill/>
                    </a:ln>
                  </pic:spPr>
                </pic:pic>
              </a:graphicData>
            </a:graphic>
          </wp:inline>
        </w:drawing>
      </w:r>
    </w:p>
    <w:p w14:paraId="6890DF1D">
      <w:pPr>
        <w:pStyle w:val="30"/>
        <w:spacing w:after="156"/>
      </w:pPr>
      <w:r>
        <w:rPr>
          <w:rFonts w:hint="eastAsia"/>
        </w:rPr>
        <w:t>图</w:t>
      </w:r>
      <w:r>
        <w:t>3</w:t>
      </w:r>
      <w:r>
        <w:rPr>
          <w:rFonts w:hint="eastAsia"/>
        </w:rPr>
        <w:t xml:space="preserve"> 催化裂化流程工艺图</w:t>
      </w:r>
    </w:p>
    <w:p w14:paraId="18CC5C57">
      <w:pPr>
        <w:pStyle w:val="23"/>
        <w:ind w:firstLine="480"/>
      </w:pPr>
      <w:r>
        <w:rPr>
          <w:rFonts w:hint="eastAsia"/>
        </w:rPr>
        <w:t>催化原料进入反应器遇催化剂在高温低压条件下发生裂解反应。反应油气进入分馏塔，失活的催化剂进入再生器再生后进入反应器循环。反应油气在分馏塔中。冷却分离得到塔顶油气、轻柴油产品和油浆产品。分馏塔顶油气经过富气压缩机升压后进入吸收稳定单元，经过吸收、脱吸、再吸收和稳定分离得到干气、液化气和稳定汽油。干气和液化气经过双脱装置后，净化干气至碳二回收装置分离得到甲烷氢和富乙烯气，净化液化气经过气分装置分离得到丙烯产品、丙烷产品和碳四产品。稳定汽油进入轻重汽油分离塔，分为轻汽油和重汽油。气分装置分离得到部分碳四和轻重汽油分离塔分离的部分轻汽油回到反应器回炼，提高以丙烯为主的液化气收率。剩余的轻汽油和重汽油混合得到汽油产品。</w:t>
      </w:r>
    </w:p>
    <w:p w14:paraId="72FF324B">
      <w:pPr>
        <w:pStyle w:val="23"/>
        <w:ind w:firstLine="482"/>
        <w:rPr>
          <w:b/>
          <w:bCs/>
        </w:rPr>
      </w:pPr>
      <w:r>
        <w:rPr>
          <w:rFonts w:hint="eastAsia"/>
          <w:b/>
          <w:bCs/>
        </w:rPr>
        <w:t>延迟焦化</w:t>
      </w:r>
    </w:p>
    <w:p w14:paraId="43396C65">
      <w:pPr>
        <w:pStyle w:val="23"/>
        <w:ind w:firstLine="480"/>
      </w:pPr>
      <w:r>
        <w:rPr>
          <w:rFonts w:hint="eastAsia"/>
        </w:rPr>
        <w:t>典型的延迟焦化装置工艺流程如图</w:t>
      </w:r>
      <w:r>
        <w:t>4</w:t>
      </w:r>
      <w:r>
        <w:rPr>
          <w:rFonts w:hint="eastAsia"/>
        </w:rPr>
        <w:t>所示。</w:t>
      </w:r>
    </w:p>
    <w:p w14:paraId="0D002FFE">
      <w:pPr>
        <w:pStyle w:val="23"/>
        <w:ind w:firstLine="0" w:firstLineChars="0"/>
        <w:jc w:val="center"/>
      </w:pPr>
      <w:r>
        <w:drawing>
          <wp:inline distT="0" distB="0" distL="0" distR="0">
            <wp:extent cx="4900930" cy="3023870"/>
            <wp:effectExtent l="0" t="0" r="0" b="5080"/>
            <wp:docPr id="822368117" name="图片 10"/>
            <wp:cNvGraphicFramePr/>
            <a:graphic xmlns:a="http://schemas.openxmlformats.org/drawingml/2006/main">
              <a:graphicData uri="http://schemas.openxmlformats.org/drawingml/2006/picture">
                <pic:pic xmlns:pic="http://schemas.openxmlformats.org/drawingml/2006/picture">
                  <pic:nvPicPr>
                    <pic:cNvPr id="822368117" name="图片 10"/>
                    <pic:cNvPicPr preferRelativeResize="0">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900930" cy="3023870"/>
                    </a:xfrm>
                    <a:prstGeom prst="rect">
                      <a:avLst/>
                    </a:prstGeom>
                    <a:noFill/>
                    <a:ln>
                      <a:noFill/>
                    </a:ln>
                  </pic:spPr>
                </pic:pic>
              </a:graphicData>
            </a:graphic>
          </wp:inline>
        </w:drawing>
      </w:r>
    </w:p>
    <w:p w14:paraId="5B3DD9D2">
      <w:pPr>
        <w:pStyle w:val="30"/>
        <w:spacing w:after="156"/>
      </w:pPr>
      <w:r>
        <w:rPr>
          <w:rFonts w:hint="eastAsia"/>
        </w:rPr>
        <w:t>图</w:t>
      </w:r>
      <w:r>
        <w:t>4</w:t>
      </w:r>
      <w:r>
        <w:rPr>
          <w:rFonts w:hint="eastAsia"/>
        </w:rPr>
        <w:t xml:space="preserve"> 延迟焦化流程工艺图</w:t>
      </w:r>
    </w:p>
    <w:p w14:paraId="6EDA301E">
      <w:pPr>
        <w:pStyle w:val="23"/>
        <w:ind w:firstLine="480"/>
      </w:pPr>
      <w:r>
        <w:rPr>
          <w:rFonts w:hint="eastAsia"/>
        </w:rPr>
        <w:t>原料进装置后送往柴油原料油换热器，换热后进入原料油缓冲罐，然后加热到320℃进入分馏塔下部换热区，在此与来自焦炭塔的热油气接触换热，原料油中蜡油以上的重馏分与来自焦炭塔油气中被冷凝的循环油一起流入塔底，在345℃下，用加热炉辐射进料泵抽出，打入加热炉快速升温至496-500℃，经四通阀进入焦炭塔底部。循环油及原料减渣中蜡油以上馏分在焦炭塔内由于高温和长停留时间而发生裂解、缩合等一系列反应，最后生成富气、汽油、柴油、蜡油和焦炭，焦炭积聚于塔内，急冷到420℃的油气自塔顶流出，进入分馏塔换热板与原料直接换热后，冷凝出循环油馏分，其余大量油气上升经十层分馏洗涤板，在控制蜡油集油箱下蒸发段温度的条件下，上升进入集油箱以上分馏段进行分馏，从下往上分馏出蜡油、柴油、汽油和富气。</w:t>
      </w:r>
    </w:p>
    <w:p w14:paraId="4374DF24">
      <w:pPr>
        <w:pStyle w:val="23"/>
        <w:ind w:firstLine="482"/>
        <w:rPr>
          <w:b/>
          <w:bCs/>
        </w:rPr>
      </w:pPr>
      <w:r>
        <w:rPr>
          <w:rFonts w:hint="eastAsia"/>
          <w:b/>
          <w:bCs/>
        </w:rPr>
        <w:t>催化重整</w:t>
      </w:r>
    </w:p>
    <w:p w14:paraId="75A145CF">
      <w:pPr>
        <w:pStyle w:val="23"/>
        <w:ind w:firstLine="480"/>
      </w:pPr>
      <w:r>
        <w:rPr>
          <w:rFonts w:hint="eastAsia"/>
        </w:rPr>
        <w:t>典型的催化重整装置工艺流程如图</w:t>
      </w:r>
      <w:r>
        <w:t>5</w:t>
      </w:r>
      <w:r>
        <w:rPr>
          <w:rFonts w:hint="eastAsia"/>
        </w:rPr>
        <w:t>所示。</w:t>
      </w:r>
    </w:p>
    <w:p w14:paraId="47001F51">
      <w:pPr>
        <w:pStyle w:val="23"/>
        <w:ind w:firstLine="0" w:firstLineChars="0"/>
        <w:jc w:val="center"/>
      </w:pPr>
      <w:r>
        <w:drawing>
          <wp:inline distT="0" distB="0" distL="0" distR="0">
            <wp:extent cx="4860925" cy="2959735"/>
            <wp:effectExtent l="0" t="0" r="0" b="0"/>
            <wp:docPr id="560088613" name="图片 11"/>
            <wp:cNvGraphicFramePr/>
            <a:graphic xmlns:a="http://schemas.openxmlformats.org/drawingml/2006/main">
              <a:graphicData uri="http://schemas.openxmlformats.org/drawingml/2006/picture">
                <pic:pic xmlns:pic="http://schemas.openxmlformats.org/drawingml/2006/picture">
                  <pic:nvPicPr>
                    <pic:cNvPr id="560088613" name="图片 11"/>
                    <pic:cNvPicPr preferRelativeResize="0">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860925" cy="2959735"/>
                    </a:xfrm>
                    <a:prstGeom prst="rect">
                      <a:avLst/>
                    </a:prstGeom>
                    <a:noFill/>
                    <a:ln>
                      <a:noFill/>
                    </a:ln>
                  </pic:spPr>
                </pic:pic>
              </a:graphicData>
            </a:graphic>
          </wp:inline>
        </w:drawing>
      </w:r>
    </w:p>
    <w:p w14:paraId="6ABE4FD9">
      <w:pPr>
        <w:pStyle w:val="30"/>
        <w:spacing w:after="156"/>
      </w:pPr>
      <w:r>
        <w:rPr>
          <w:rFonts w:hint="eastAsia"/>
        </w:rPr>
        <w:t>图</w:t>
      </w:r>
      <w:r>
        <w:t>5</w:t>
      </w:r>
      <w:r>
        <w:rPr>
          <w:rFonts w:hint="eastAsia"/>
        </w:rPr>
        <w:t xml:space="preserve"> 催化重整工艺流程图</w:t>
      </w:r>
    </w:p>
    <w:p w14:paraId="220A277A">
      <w:pPr>
        <w:pStyle w:val="23"/>
        <w:ind w:firstLine="480"/>
      </w:pPr>
      <w:r>
        <w:rPr>
          <w:rFonts w:hint="eastAsia"/>
        </w:rPr>
        <w:t>催化重整是石油冶炼的关键工艺之一，其产物包括有富含芳烃的重整石油和氢气，生产环节包括有预处理、重整反应、催化剂再生以及后分馏等四个阶段。</w:t>
      </w:r>
    </w:p>
    <w:p w14:paraId="7A993F85">
      <w:pPr>
        <w:pStyle w:val="23"/>
        <w:ind w:firstLine="480"/>
      </w:pPr>
      <w:r>
        <w:rPr>
          <w:rFonts w:hint="eastAsia"/>
        </w:rPr>
        <w:t>1. 催化剂预处理: 首先，将催化剂送入烘箱进行烘烤以去除水 分和有机杂质，然后将烘烤好的催化剂装入催化剂装置中。催 化剂装置通常包括固定床、流化床或移动床。</w:t>
      </w:r>
    </w:p>
    <w:p w14:paraId="6426C71A">
      <w:pPr>
        <w:pStyle w:val="23"/>
        <w:ind w:firstLine="480"/>
      </w:pPr>
      <w:r>
        <w:rPr>
          <w:rFonts w:hint="eastAsia"/>
        </w:rPr>
        <w:t>2. 原料预处理: 在原料预处理部分，首先将原料经过脱硫装置 进行脱硫处理，去除原料中的硫化物。然后，将脱硫后的原料 通过加氢装置进行加氢处理，以增加原料分子量。</w:t>
      </w:r>
    </w:p>
    <w:p w14:paraId="3EB11EF7">
      <w:pPr>
        <w:pStyle w:val="23"/>
        <w:ind w:firstLine="480"/>
      </w:pPr>
      <w:r>
        <w:rPr>
          <w:rFonts w:hint="eastAsia"/>
        </w:rPr>
        <w:t>3. 反应器系统: 在反应器系统中，将经过预处理的原料送入重 整反应器进行反应。反应器一般为升流式反应器或下流式反应 器，通过控制反应温度和压力等条件，催化剂将原料中的烷烃 类化合物转化为芳烃和烯烃类化合物。</w:t>
      </w:r>
    </w:p>
    <w:p w14:paraId="2BFDC080">
      <w:pPr>
        <w:pStyle w:val="23"/>
        <w:ind w:firstLine="480"/>
      </w:pPr>
      <w:r>
        <w:rPr>
          <w:rFonts w:hint="eastAsia"/>
        </w:rPr>
        <w:t>4. 产品分离: 在产品分离部分，将反应器出口气体经过冷凝器 进行冷却，分离出液体产品和气体产品。液体产品中包括高碳 数的芳烃和烯烃类化合物，可以进一步用于燃料和化工原料。 气体产品中包括未反应的原料和轻烃类化合物，可以经过分离 器进行分离和回收利用。</w:t>
      </w:r>
    </w:p>
    <w:p w14:paraId="40CEAF03">
      <w:pPr>
        <w:pStyle w:val="23"/>
        <w:ind w:firstLine="482"/>
        <w:rPr>
          <w:b/>
          <w:bCs/>
        </w:rPr>
      </w:pPr>
      <w:r>
        <w:rPr>
          <w:rFonts w:hint="eastAsia"/>
          <w:b/>
          <w:bCs/>
        </w:rPr>
        <w:t>加氢裂化</w:t>
      </w:r>
    </w:p>
    <w:p w14:paraId="541CEEFD">
      <w:pPr>
        <w:pStyle w:val="23"/>
        <w:ind w:firstLine="480"/>
      </w:pPr>
      <w:r>
        <w:rPr>
          <w:rFonts w:hint="eastAsia"/>
        </w:rPr>
        <w:t>典型的加氢裂化装置工艺流程如图</w:t>
      </w:r>
      <w:r>
        <w:t>6</w:t>
      </w:r>
      <w:r>
        <w:rPr>
          <w:rFonts w:hint="eastAsia"/>
        </w:rPr>
        <w:t>所示。</w:t>
      </w:r>
    </w:p>
    <w:p w14:paraId="75094523">
      <w:pPr>
        <w:pStyle w:val="23"/>
        <w:ind w:firstLine="0" w:firstLineChars="0"/>
        <w:jc w:val="center"/>
      </w:pPr>
      <w:r>
        <w:drawing>
          <wp:inline distT="0" distB="0" distL="0" distR="0">
            <wp:extent cx="5093335" cy="3103880"/>
            <wp:effectExtent l="0" t="0" r="0" b="1270"/>
            <wp:docPr id="13861755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6175506" name="图片 12"/>
                    <pic:cNvPicPr preferRelativeResize="0">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093335" cy="3103880"/>
                    </a:xfrm>
                    <a:prstGeom prst="rect">
                      <a:avLst/>
                    </a:prstGeom>
                    <a:noFill/>
                    <a:ln>
                      <a:noFill/>
                    </a:ln>
                  </pic:spPr>
                </pic:pic>
              </a:graphicData>
            </a:graphic>
          </wp:inline>
        </w:drawing>
      </w:r>
    </w:p>
    <w:p w14:paraId="7FAE38C3">
      <w:pPr>
        <w:pStyle w:val="30"/>
        <w:spacing w:after="156"/>
      </w:pPr>
      <w:r>
        <w:rPr>
          <w:rFonts w:hint="eastAsia"/>
        </w:rPr>
        <w:t>图</w:t>
      </w:r>
      <w:r>
        <w:t>6</w:t>
      </w:r>
      <w:r>
        <w:rPr>
          <w:rFonts w:hint="eastAsia"/>
        </w:rPr>
        <w:t xml:space="preserve"> 两端加氢裂化工艺流程图</w:t>
      </w:r>
    </w:p>
    <w:p w14:paraId="59C48427">
      <w:pPr>
        <w:pStyle w:val="23"/>
        <w:ind w:firstLine="480"/>
      </w:pPr>
      <w:r>
        <w:rPr>
          <w:rFonts w:hint="eastAsia"/>
        </w:rPr>
        <w:t>加氢裂化是一种将重质原油转化为高附加值的汽油、柴油和航空煤油等产品的炼油工艺。该工艺的核心是利用催化剂在高温高压下将原油中的大分子烃分子裂解成较小分子，并通过加氢反应降低产品的烯烃和芳烃含量，从而得到高质量的汽油和柴油产品。</w:t>
      </w:r>
    </w:p>
    <w:p w14:paraId="630EBAFC">
      <w:pPr>
        <w:pStyle w:val="23"/>
        <w:ind w:firstLine="480"/>
      </w:pPr>
      <w:r>
        <w:rPr>
          <w:rFonts w:hint="eastAsia"/>
        </w:rPr>
        <w:t>1. 原油预处理：这一步骤包括脱盐装置、脱水装置、加热炉和换热器等设备，目的是去除原油中的杂质、水分和重金属，提高原油的流动性和热传导性。</w:t>
      </w:r>
    </w:p>
    <w:p w14:paraId="47284830">
      <w:pPr>
        <w:pStyle w:val="23"/>
        <w:ind w:firstLine="480"/>
      </w:pPr>
      <w:r>
        <w:rPr>
          <w:rFonts w:hint="eastAsia"/>
        </w:rPr>
        <w:t>2. 加氢裂化反应：原油在加热和压缩后进入反应器，与催化剂接触进行裂化和加氢反应，生成轻质产品。反应器通常采用固定床反应器或流化床反应器，操作条件包括温度在400~480℃，压力在30~50大气压，空速为1~5m³。</w:t>
      </w:r>
    </w:p>
    <w:p w14:paraId="6F662FD4">
      <w:pPr>
        <w:pStyle w:val="23"/>
        <w:ind w:firstLine="480"/>
      </w:pPr>
      <w:r>
        <w:rPr>
          <w:rFonts w:hint="eastAsia"/>
        </w:rPr>
        <w:t>3. 产品分离和处理：裂化产物经过冷凝、分离、脱气、脱硫等操作，得到合格的汽油、柴油和石脑油产品。</w:t>
      </w:r>
    </w:p>
    <w:p w14:paraId="3E45C26A">
      <w:pPr>
        <w:pStyle w:val="23"/>
        <w:ind w:firstLine="480"/>
      </w:pPr>
      <w:r>
        <w:rPr>
          <w:rFonts w:hint="eastAsia"/>
        </w:rPr>
        <w:t>4. 催化剂再生：由于催化剂在使用过程中会受到积炭和焦炭的影响，需要进行再生或更换，以保持其活性。</w:t>
      </w:r>
    </w:p>
    <w:p w14:paraId="154033A7">
      <w:pPr>
        <w:pStyle w:val="23"/>
        <w:ind w:firstLine="480"/>
      </w:pPr>
      <w:r>
        <w:rPr>
          <w:rFonts w:hint="eastAsia"/>
        </w:rPr>
        <w:t>加氢裂化工艺可以分为一段加氢裂化流程、二段加氢裂化流程、串联加氢裂化流程。一段加氢裂化流程中，原料的加氢精制和加氢裂化在一个反应器内进行。二段加氢裂化流程中，第一个反应器装加氢精制催化剂，第二个反应器装加氢裂化催化剂，形成两个独立的加氢体系。串联加氢裂化流程结合了一段和二段加氢裂化流程的特点，具有操作灵活和流程简单的优点。</w:t>
      </w:r>
    </w:p>
    <w:p w14:paraId="5B0A4AA9">
      <w:pPr>
        <w:pStyle w:val="23"/>
        <w:ind w:firstLine="482"/>
        <w:rPr>
          <w:b/>
          <w:bCs/>
        </w:rPr>
      </w:pPr>
      <w:r>
        <w:rPr>
          <w:rFonts w:hint="eastAsia"/>
          <w:b/>
          <w:bCs/>
        </w:rPr>
        <w:t>加氢</w:t>
      </w:r>
    </w:p>
    <w:p w14:paraId="34DF09B1">
      <w:pPr>
        <w:pStyle w:val="23"/>
        <w:ind w:firstLine="480"/>
      </w:pPr>
      <w:r>
        <w:rPr>
          <w:rFonts w:hint="eastAsia"/>
        </w:rPr>
        <w:t>典型的加氢装置工艺流程如图</w:t>
      </w:r>
      <w:r>
        <w:t>7</w:t>
      </w:r>
      <w:r>
        <w:rPr>
          <w:rFonts w:hint="eastAsia"/>
        </w:rPr>
        <w:t>所示。</w:t>
      </w:r>
    </w:p>
    <w:p w14:paraId="6B838C09">
      <w:pPr>
        <w:pStyle w:val="23"/>
        <w:ind w:firstLine="0" w:firstLineChars="0"/>
        <w:jc w:val="center"/>
      </w:pPr>
      <w:r>
        <w:drawing>
          <wp:inline distT="0" distB="0" distL="0" distR="0">
            <wp:extent cx="5029200" cy="2438400"/>
            <wp:effectExtent l="0" t="0" r="0" b="0"/>
            <wp:docPr id="137496806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968066" name="图片 13"/>
                    <pic:cNvPicPr preferRelativeResize="0">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29200" cy="2438400"/>
                    </a:xfrm>
                    <a:prstGeom prst="rect">
                      <a:avLst/>
                    </a:prstGeom>
                    <a:noFill/>
                    <a:ln>
                      <a:noFill/>
                    </a:ln>
                  </pic:spPr>
                </pic:pic>
              </a:graphicData>
            </a:graphic>
          </wp:inline>
        </w:drawing>
      </w:r>
    </w:p>
    <w:p w14:paraId="30A03313">
      <w:pPr>
        <w:pStyle w:val="23"/>
        <w:ind w:firstLine="480"/>
        <w:jc w:val="center"/>
      </w:pPr>
      <w:r>
        <w:rPr>
          <w:rFonts w:hint="eastAsia"/>
        </w:rPr>
        <w:t>1—缓冲罐;2—加热炉;3、13、17—泵;4—新氢压缩机;5—加氢反应器;6、11—换热器;7、12、15—冷却器;8、9—分离器;10—循环氢压缩机;14—再沸器;16—回流罐;18—蒸馏塔</w:t>
      </w:r>
    </w:p>
    <w:p w14:paraId="0CD438D8">
      <w:pPr>
        <w:pStyle w:val="30"/>
        <w:spacing w:after="156"/>
      </w:pPr>
      <w:r>
        <w:rPr>
          <w:rFonts w:hint="eastAsia"/>
        </w:rPr>
        <w:t>图</w:t>
      </w:r>
      <w:r>
        <w:t>7</w:t>
      </w:r>
      <w:r>
        <w:rPr>
          <w:rFonts w:hint="eastAsia"/>
        </w:rPr>
        <w:t xml:space="preserve"> 加氢工艺流程图</w:t>
      </w:r>
    </w:p>
    <w:p w14:paraId="4495813F">
      <w:pPr>
        <w:pStyle w:val="23"/>
        <w:ind w:firstLine="480"/>
      </w:pPr>
      <w:r>
        <w:rPr>
          <w:rFonts w:hint="eastAsia"/>
        </w:rPr>
        <w:t>加氢的工艺流程一般包括反应系统、生成油换热、冷却、分离系统和循环氢系统三部分。</w:t>
      </w:r>
    </w:p>
    <w:p w14:paraId="368C325E">
      <w:pPr>
        <w:pStyle w:val="23"/>
        <w:ind w:firstLine="480"/>
      </w:pPr>
      <w:r>
        <w:rPr>
          <w:rFonts w:hint="eastAsia"/>
        </w:rPr>
        <w:t>1. 反应系统原料油与新氢、循环氢混合，并与反应产物换热后，以气液混相状态进入加热炉(这种方式称炉前混氢)，加热至反应温度进入反应器。反应器进料可以是气相(精制汽油时)，也可以是气液混相(精制柴油或比柴油更重的油品时)。反应器内的催化剂一般是分层填装,以利于注冷氢来控制反应温度，循环氢与油料混合物通过每段催化剂床层进行加氢反应。</w:t>
      </w:r>
    </w:p>
    <w:p w14:paraId="3B7509E1">
      <w:pPr>
        <w:pStyle w:val="23"/>
        <w:ind w:firstLine="480"/>
      </w:pPr>
      <w:r>
        <w:rPr>
          <w:rFonts w:hint="eastAsia"/>
        </w:rPr>
        <w:t>2. 生成油换热、冷却、分离系统反应产物从反应器的底部出来, 经过换热、冷却后, 进入高压分离器。在冷却器前要向产物中注入高压洗涤水, 以溶解反应生成的氨和部分硫化氢。反应产物在高压分离器中进行油气分离, 分出的气体是循环氢, 其中除了主要成分氢外，还有少量的气态烃(不凝气)和未溶于水的硫化氢;分出的液体产物是加氢生成油, 其中也溶解有少量的气态烃和硫化氢；生成油经过减压再进入低压分离器进一步分离出气态烃等组分, 产品去分馏系统分离成合格产品。</w:t>
      </w:r>
    </w:p>
    <w:p w14:paraId="4F39019E">
      <w:pPr>
        <w:pStyle w:val="23"/>
        <w:ind w:firstLine="480"/>
      </w:pPr>
      <w:r>
        <w:rPr>
          <w:rFonts w:hint="eastAsia"/>
        </w:rPr>
        <w:t>3. 循环氢系统从高压分离器分出的循环氢经储罐及循环氢压缩机后,小部分(30%)直接进入反应器作冷氢,其余大部分送去与原料油混合,在装置中循环使用。为了保证循环氢的纯度,避免硫化氢在系统中积累, 常用硫化氢回收系统。一般用乙醇胺吸收除去硫化氢,富液(吸收液)再生循环使用, 解吸出来的硫化氢送到制硫装置回收硫磺,净化后的氢气循环使用。</w:t>
      </w:r>
    </w:p>
    <w:p w14:paraId="061C9EB5">
      <w:pPr>
        <w:keepNext/>
        <w:keepLines/>
        <w:numPr>
          <w:ilvl w:val="2"/>
          <w:numId w:val="1"/>
        </w:numPr>
        <w:tabs>
          <w:tab w:val="left" w:pos="720"/>
          <w:tab w:val="clear" w:pos="390"/>
        </w:tabs>
        <w:spacing w:before="156" w:beforeLines="50" w:after="156" w:afterLines="50" w:line="360" w:lineRule="auto"/>
        <w:ind w:left="720"/>
        <w:outlineLvl w:val="2"/>
        <w:rPr>
          <w:rFonts w:ascii="Times New Roman" w:hAnsi="Times New Roman" w:eastAsia="华文楷体" w:cs="Times New Roman"/>
          <w:b/>
          <w:bCs/>
          <w:sz w:val="32"/>
          <w:szCs w:val="21"/>
        </w:rPr>
      </w:pPr>
      <w:bookmarkStart w:id="9" w:name="_Toc184636992"/>
      <w:r>
        <w:rPr>
          <w:rFonts w:hint="eastAsia" w:ascii="Times New Roman" w:hAnsi="Times New Roman" w:eastAsia="华文楷体" w:cs="Times New Roman"/>
          <w:b/>
          <w:bCs/>
          <w:sz w:val="32"/>
          <w:szCs w:val="21"/>
        </w:rPr>
        <w:t>炼油行业典型碳捕集技术</w:t>
      </w:r>
      <w:bookmarkEnd w:id="9"/>
    </w:p>
    <w:p w14:paraId="681C7395">
      <w:pPr>
        <w:numPr>
          <w:ilvl w:val="3"/>
          <w:numId w:val="1"/>
        </w:numPr>
        <w:tabs>
          <w:tab w:val="left" w:pos="864"/>
          <w:tab w:val="clear" w:pos="534"/>
        </w:tabs>
        <w:adjustRightInd w:val="0"/>
        <w:spacing w:before="156" w:beforeLines="50" w:after="156" w:afterLines="50" w:line="360" w:lineRule="auto"/>
        <w:ind w:left="0" w:firstLine="0"/>
        <w:jc w:val="left"/>
        <w:textAlignment w:val="baseline"/>
        <w:outlineLvl w:val="3"/>
        <w:rPr>
          <w:rFonts w:ascii="Times New Roman" w:hAnsi="Times New Roman" w:eastAsia="宋体" w:cs="Times New Roman"/>
          <w:b/>
          <w:bCs/>
          <w:smallCaps/>
          <w:sz w:val="28"/>
          <w:szCs w:val="24"/>
        </w:rPr>
      </w:pPr>
      <w:r>
        <w:rPr>
          <w:rFonts w:hint="eastAsia" w:ascii="Times New Roman" w:hAnsi="Times New Roman" w:eastAsia="宋体" w:cs="Times New Roman"/>
          <w:b/>
          <w:bCs/>
          <w:smallCaps/>
          <w:sz w:val="28"/>
          <w:szCs w:val="24"/>
        </w:rPr>
        <w:t>燃煤锅炉烟气碳捕集</w:t>
      </w:r>
    </w:p>
    <w:p w14:paraId="32EF3B93">
      <w:pPr>
        <w:pStyle w:val="23"/>
        <w:ind w:firstLine="480"/>
      </w:pPr>
      <w:r>
        <w:rPr>
          <w:rFonts w:hint="eastAsia"/>
        </w:rPr>
        <w:t>燃煤锅炉烟气碳捕集技术是指从燃煤锅炉排放的烟气中捕集二氧化碳的技术。燃煤锅炉烟气碳捕集技术主要基于化学吸收、物理吸附或膜分离等原理，将烟气中的二氧化碳分离并捕集下来。</w:t>
      </w:r>
    </w:p>
    <w:p w14:paraId="40447CC9">
      <w:pPr>
        <w:pStyle w:val="23"/>
        <w:ind w:firstLine="482"/>
        <w:rPr>
          <w:b/>
          <w:bCs/>
        </w:rPr>
      </w:pPr>
      <w:r>
        <w:rPr>
          <w:rFonts w:hint="eastAsia"/>
          <w:b/>
          <w:bCs/>
        </w:rPr>
        <w:t>工艺流程：</w:t>
      </w:r>
    </w:p>
    <w:p w14:paraId="4C19F363">
      <w:pPr>
        <w:pStyle w:val="23"/>
        <w:ind w:firstLine="480"/>
      </w:pPr>
      <w:r>
        <w:rPr>
          <w:rFonts w:hint="eastAsia"/>
        </w:rPr>
        <w:t>烟气预处理：对燃煤锅炉排放的烟气进行脱硝、除尘、脱硫等预处理，以去除对后续工艺有害的物质。</w:t>
      </w:r>
    </w:p>
    <w:p w14:paraId="558AC67C">
      <w:pPr>
        <w:pStyle w:val="23"/>
        <w:ind w:firstLine="480"/>
      </w:pPr>
      <w:r>
        <w:rPr>
          <w:rFonts w:hint="eastAsia"/>
        </w:rPr>
        <w:t>二氧化碳捕集：利用吸收剂（如胺类溶液）与烟气中的二氧化碳发生反应，将其捕集下来。这一过程通常在吸收塔内完成。</w:t>
      </w:r>
    </w:p>
    <w:p w14:paraId="786D3DFF">
      <w:pPr>
        <w:pStyle w:val="23"/>
        <w:ind w:firstLine="480"/>
      </w:pPr>
      <w:r>
        <w:rPr>
          <w:rFonts w:hint="eastAsia"/>
        </w:rPr>
        <w:t>再生与纯化：将捕集到的二氧化碳从吸收剂中解吸出来，并进行纯化处理，以得到高纯度的二氧化碳产品。</w:t>
      </w:r>
    </w:p>
    <w:p w14:paraId="4B046A99">
      <w:pPr>
        <w:pStyle w:val="23"/>
        <w:ind w:firstLine="480"/>
      </w:pPr>
      <w:r>
        <w:rPr>
          <w:rFonts w:hint="eastAsia"/>
        </w:rPr>
        <w:t>压缩与储存：将纯化后的二氧化碳进行压缩，并储存于适当的容器中，以便后续利用或封存。</w:t>
      </w:r>
    </w:p>
    <w:p w14:paraId="04AA6E0F">
      <w:pPr>
        <w:pStyle w:val="23"/>
        <w:ind w:firstLine="480"/>
      </w:pPr>
      <w:r>
        <w:drawing>
          <wp:inline distT="0" distB="0" distL="0" distR="0">
            <wp:extent cx="5274310" cy="3007360"/>
            <wp:effectExtent l="0" t="0" r="0" b="0"/>
            <wp:docPr id="7937028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702844" name="图片 1"/>
                    <pic:cNvPicPr>
                      <a:picLocks noChangeAspect="1"/>
                    </pic:cNvPicPr>
                  </pic:nvPicPr>
                  <pic:blipFill>
                    <a:blip r:embed="rId14"/>
                    <a:stretch>
                      <a:fillRect/>
                    </a:stretch>
                  </pic:blipFill>
                  <pic:spPr>
                    <a:xfrm>
                      <a:off x="0" y="0"/>
                      <a:ext cx="5274310" cy="3007360"/>
                    </a:xfrm>
                    <a:prstGeom prst="rect">
                      <a:avLst/>
                    </a:prstGeom>
                  </pic:spPr>
                </pic:pic>
              </a:graphicData>
            </a:graphic>
          </wp:inline>
        </w:drawing>
      </w:r>
    </w:p>
    <w:p w14:paraId="18BF5B68">
      <w:pPr>
        <w:pStyle w:val="30"/>
        <w:spacing w:after="156"/>
      </w:pPr>
      <w:r>
        <w:rPr>
          <w:rFonts w:hint="eastAsia"/>
        </w:rPr>
        <w:t>图8 燃煤锅炉烟气碳捕集工艺流程图</w:t>
      </w:r>
    </w:p>
    <w:p w14:paraId="4A805E5B">
      <w:pPr>
        <w:numPr>
          <w:ilvl w:val="255"/>
          <w:numId w:val="0"/>
        </w:numPr>
        <w:tabs>
          <w:tab w:val="left" w:pos="864"/>
        </w:tabs>
        <w:adjustRightInd w:val="0"/>
        <w:spacing w:before="156" w:beforeLines="50" w:after="156" w:afterLines="50" w:line="360" w:lineRule="auto"/>
        <w:jc w:val="left"/>
        <w:textAlignment w:val="baseline"/>
        <w:outlineLvl w:val="3"/>
        <w:rPr>
          <w:rFonts w:ascii="Times New Roman" w:hAnsi="Times New Roman" w:eastAsia="宋体" w:cs="Times New Roman"/>
          <w:b/>
          <w:bCs/>
          <w:smallCaps/>
          <w:sz w:val="28"/>
          <w:szCs w:val="24"/>
          <w:highlight w:val="yellow"/>
        </w:rPr>
      </w:pPr>
    </w:p>
    <w:p w14:paraId="7076D591">
      <w:pPr>
        <w:numPr>
          <w:ilvl w:val="3"/>
          <w:numId w:val="1"/>
        </w:numPr>
        <w:tabs>
          <w:tab w:val="left" w:pos="864"/>
          <w:tab w:val="clear" w:pos="534"/>
        </w:tabs>
        <w:adjustRightInd w:val="0"/>
        <w:spacing w:before="156" w:beforeLines="50" w:after="156" w:afterLines="50" w:line="360" w:lineRule="auto"/>
        <w:ind w:left="0" w:firstLine="0"/>
        <w:jc w:val="left"/>
        <w:textAlignment w:val="baseline"/>
        <w:outlineLvl w:val="3"/>
        <w:rPr>
          <w:rFonts w:ascii="Times New Roman" w:hAnsi="Times New Roman" w:eastAsia="宋体" w:cs="Times New Roman"/>
          <w:b/>
          <w:bCs/>
          <w:smallCaps/>
          <w:sz w:val="28"/>
          <w:szCs w:val="24"/>
        </w:rPr>
      </w:pPr>
      <w:r>
        <w:rPr>
          <w:rFonts w:hint="eastAsia" w:ascii="Times New Roman" w:hAnsi="Times New Roman" w:eastAsia="宋体" w:cs="Times New Roman"/>
          <w:b/>
          <w:bCs/>
          <w:smallCaps/>
          <w:sz w:val="28"/>
          <w:szCs w:val="24"/>
        </w:rPr>
        <w:t>催化裂化尾气碳捕集</w:t>
      </w:r>
    </w:p>
    <w:p w14:paraId="098AAB31">
      <w:pPr>
        <w:pStyle w:val="23"/>
        <w:ind w:firstLine="480"/>
      </w:pPr>
      <w:r>
        <w:rPr>
          <w:rFonts w:hint="eastAsia"/>
        </w:rPr>
        <w:t>催化裂化过程产生的CO</w:t>
      </w:r>
      <w:r>
        <w:rPr>
          <w:rFonts w:hint="eastAsia"/>
          <w:vertAlign w:val="subscript"/>
        </w:rPr>
        <w:t>2</w:t>
      </w:r>
      <w:r>
        <w:rPr>
          <w:rFonts w:hint="eastAsia"/>
        </w:rPr>
        <w:t>主要是通过燃烧后捕集和富氧燃烧捕集，其二氧化碳的捕集端集中在富氧燃烧部分。</w:t>
      </w:r>
    </w:p>
    <w:p w14:paraId="5E969229">
      <w:pPr>
        <w:pStyle w:val="23"/>
        <w:ind w:firstLine="480"/>
      </w:pPr>
      <w:r>
        <w:rPr>
          <w:rFonts w:hint="eastAsia"/>
        </w:rPr>
        <w:t>技术原理：使用纯氧（而不是空气）燃烧固体燃料，由二氧化碳循环流控制燃烧。富氧燃烧产生的烟气主要由水和二氧化碳组成，采用水分离技术在后端能比较容易地捕集到二氧化碳。</w:t>
      </w:r>
    </w:p>
    <w:p w14:paraId="42E02F57">
      <w:pPr>
        <w:pStyle w:val="23"/>
        <w:ind w:firstLine="480"/>
      </w:pPr>
      <w:r>
        <w:rPr>
          <w:rFonts w:hint="eastAsia"/>
        </w:rPr>
        <w:t>技术流程：空气先在空气分离装置分离出氧气，燃料在高纯度氧气氛围中燃烧，燃烧生成的烟气成分主要为CO</w:t>
      </w:r>
      <w:r>
        <w:rPr>
          <w:rFonts w:hint="eastAsia"/>
          <w:vertAlign w:val="subscript"/>
        </w:rPr>
        <w:t>2</w:t>
      </w:r>
      <w:r>
        <w:rPr>
          <w:rFonts w:hint="eastAsia"/>
        </w:rPr>
        <w:t>和H</w:t>
      </w:r>
      <w:r>
        <w:rPr>
          <w:rFonts w:hint="eastAsia"/>
          <w:vertAlign w:val="subscript"/>
        </w:rPr>
        <w:t>2</w:t>
      </w:r>
      <w:r>
        <w:rPr>
          <w:rFonts w:hint="eastAsia"/>
        </w:rPr>
        <w:t>O，经冷凝可将CO</w:t>
      </w:r>
      <w:r>
        <w:rPr>
          <w:rFonts w:hint="eastAsia"/>
          <w:vertAlign w:val="subscript"/>
        </w:rPr>
        <w:t>2</w:t>
      </w:r>
      <w:r>
        <w:rPr>
          <w:rFonts w:hint="eastAsia"/>
        </w:rPr>
        <w:t>分离，一部分烟气通过再循环进入锅炉起到控制燃烧温度的作用。</w:t>
      </w:r>
    </w:p>
    <w:p w14:paraId="1C00EF7B">
      <w:pPr>
        <w:pStyle w:val="23"/>
        <w:ind w:firstLine="480"/>
      </w:pPr>
      <w:r>
        <w:rPr>
          <w:rFonts w:hint="eastAsia"/>
        </w:rPr>
        <w:t>技术特点：</w:t>
      </w:r>
    </w:p>
    <w:p w14:paraId="153219D3">
      <w:pPr>
        <w:pStyle w:val="23"/>
        <w:ind w:firstLine="480"/>
      </w:pPr>
      <w:r>
        <w:rPr>
          <w:rFonts w:hint="eastAsia"/>
        </w:rPr>
        <w:t>可直接液化CO</w:t>
      </w:r>
      <w:r>
        <w:rPr>
          <w:rFonts w:hint="eastAsia"/>
          <w:vertAlign w:val="subscript"/>
        </w:rPr>
        <w:t>2</w:t>
      </w:r>
      <w:r>
        <w:rPr>
          <w:rFonts w:hint="eastAsia"/>
        </w:rPr>
        <w:t>，燃烧产物中CO</w:t>
      </w:r>
      <w:r>
        <w:rPr>
          <w:rFonts w:hint="eastAsia"/>
          <w:vertAlign w:val="subscript"/>
        </w:rPr>
        <w:t>2</w:t>
      </w:r>
      <w:r>
        <w:rPr>
          <w:rFonts w:hint="eastAsia"/>
        </w:rPr>
        <w:t>的浓度达90%以上，无须进行分离就可以直接进行液化。</w:t>
      </w:r>
    </w:p>
    <w:p w14:paraId="5B37674B">
      <w:pPr>
        <w:pStyle w:val="23"/>
        <w:ind w:firstLine="480"/>
      </w:pPr>
      <w:r>
        <w:rPr>
          <w:rFonts w:hint="eastAsia"/>
        </w:rPr>
        <w:t>可省去脱硫装置，由于SO</w:t>
      </w:r>
      <w:r>
        <w:rPr>
          <w:rFonts w:hint="eastAsia"/>
          <w:vertAlign w:val="subscript"/>
        </w:rPr>
        <w:t>2</w:t>
      </w:r>
      <w:r>
        <w:rPr>
          <w:rFonts w:hint="eastAsia"/>
        </w:rPr>
        <w:t>的沸点温度高于CO</w:t>
      </w:r>
      <w:r>
        <w:rPr>
          <w:rFonts w:hint="eastAsia"/>
          <w:vertAlign w:val="subscript"/>
        </w:rPr>
        <w:t>2</w:t>
      </w:r>
      <w:r>
        <w:rPr>
          <w:rFonts w:hint="eastAsia"/>
        </w:rPr>
        <w:t>的三相点温度，在压缩冷凝液化回收CO</w:t>
      </w:r>
      <w:r>
        <w:rPr>
          <w:rFonts w:hint="eastAsia"/>
          <w:vertAlign w:val="subscript"/>
        </w:rPr>
        <w:t>2</w:t>
      </w:r>
      <w:r>
        <w:rPr>
          <w:rFonts w:hint="eastAsia"/>
        </w:rPr>
        <w:t>的过程中，烟气中的SO</w:t>
      </w:r>
      <w:r>
        <w:rPr>
          <w:rFonts w:hint="eastAsia"/>
          <w:vertAlign w:val="subscript"/>
        </w:rPr>
        <w:t>2</w:t>
      </w:r>
      <w:r>
        <w:rPr>
          <w:rFonts w:hint="eastAsia"/>
        </w:rPr>
        <w:t>首先被液化并回收，有可能省去复杂昂贵的烟气脱硫设备，并实现资源化利用。</w:t>
      </w:r>
    </w:p>
    <w:p w14:paraId="3AA1FCC3">
      <w:pPr>
        <w:pStyle w:val="23"/>
        <w:ind w:firstLine="480"/>
      </w:pPr>
      <w:r>
        <w:rPr>
          <w:rFonts w:hint="eastAsia"/>
        </w:rPr>
        <w:t>可提高锅炉效率，由于采用高浓度的氧燃烧，进炉的气体体积减小，烟气净化和分离处理所需的能耗降低，因而具有较高的锅炉效率。</w:t>
      </w:r>
    </w:p>
    <w:p w14:paraId="49D8E9C4">
      <w:pPr>
        <w:pStyle w:val="2"/>
        <w:spacing w:before="156" w:after="156"/>
      </w:pPr>
      <w:bookmarkStart w:id="10" w:name="_Toc184636993"/>
      <w:r>
        <w:rPr>
          <w:rFonts w:hint="eastAsia"/>
        </w:rPr>
        <w:t>标准制定原则</w:t>
      </w:r>
      <w:bookmarkEnd w:id="10"/>
    </w:p>
    <w:p w14:paraId="2BDAA811">
      <w:pPr>
        <w:pStyle w:val="23"/>
        <w:ind w:firstLine="480"/>
        <w:rPr>
          <w:rFonts w:cs="Times New Roman"/>
        </w:rPr>
      </w:pPr>
      <w:r>
        <w:rPr>
          <w:rFonts w:hint="eastAsia" w:cs="Times New Roman"/>
        </w:rPr>
        <w:t>《炼油行业碳捕集项目评价指南》团体标准制定的目的是适应炼油单位产品生产工艺污染治理措施减污降碳水平现状，保证标准的科学性和实用性，指导炼油行业的稳定健康发展。</w:t>
      </w:r>
    </w:p>
    <w:p w14:paraId="7E6E69E4">
      <w:pPr>
        <w:pStyle w:val="23"/>
        <w:ind w:firstLine="480"/>
        <w:rPr>
          <w:rFonts w:cs="Times New Roman"/>
        </w:rPr>
      </w:pPr>
      <w:r>
        <w:rPr>
          <w:rFonts w:hint="eastAsia" w:cs="Times New Roman"/>
        </w:rPr>
        <w:t>编制时遵循了下列原则：</w:t>
      </w:r>
    </w:p>
    <w:p w14:paraId="6CE1483C">
      <w:pPr>
        <w:pStyle w:val="23"/>
        <w:ind w:firstLine="480"/>
        <w:rPr>
          <w:rFonts w:cs="Times New Roman"/>
        </w:rPr>
      </w:pPr>
      <w:r>
        <w:rPr>
          <w:rFonts w:hint="eastAsia" w:cs="Times New Roman"/>
        </w:rPr>
        <w:t>（</w:t>
      </w:r>
      <w:r>
        <w:rPr>
          <w:rFonts w:cs="Times New Roman"/>
        </w:rPr>
        <w:t>1）充分考虑我国炼油行业碳排放水平和特点，以及行业污染治理措施和低碳发展的需求；</w:t>
      </w:r>
    </w:p>
    <w:p w14:paraId="66CBA69B">
      <w:pPr>
        <w:pStyle w:val="23"/>
        <w:ind w:firstLine="480"/>
        <w:rPr>
          <w:rFonts w:cs="Times New Roman"/>
        </w:rPr>
      </w:pPr>
      <w:r>
        <w:rPr>
          <w:rFonts w:hint="eastAsia" w:cs="Times New Roman"/>
        </w:rPr>
        <w:t>（</w:t>
      </w:r>
      <w:r>
        <w:rPr>
          <w:rFonts w:cs="Times New Roman"/>
        </w:rPr>
        <w:t>2）符合国家炼油产业相关政策。</w:t>
      </w:r>
    </w:p>
    <w:p w14:paraId="2DC37914">
      <w:pPr>
        <w:pStyle w:val="2"/>
        <w:spacing w:before="156" w:after="156"/>
      </w:pPr>
      <w:bookmarkStart w:id="11" w:name="_Toc184636994"/>
      <w:r>
        <w:rPr>
          <w:rFonts w:hint="eastAsia"/>
        </w:rPr>
        <w:t>标准主要编制内容和编制说明</w:t>
      </w:r>
      <w:bookmarkEnd w:id="11"/>
    </w:p>
    <w:p w14:paraId="3F08B5E7">
      <w:pPr>
        <w:pStyle w:val="3"/>
        <w:spacing w:before="156" w:after="156"/>
      </w:pPr>
      <w:bookmarkStart w:id="12" w:name="_Toc184636995"/>
      <w:r>
        <w:rPr>
          <w:rFonts w:hint="eastAsia"/>
        </w:rPr>
        <w:t>范围</w:t>
      </w:r>
      <w:bookmarkEnd w:id="12"/>
    </w:p>
    <w:p w14:paraId="4C373D41">
      <w:pPr>
        <w:pStyle w:val="23"/>
        <w:ind w:firstLine="480"/>
        <w:rPr>
          <w:rFonts w:cs="Times New Roman"/>
        </w:rPr>
      </w:pPr>
      <w:r>
        <w:rPr>
          <w:rFonts w:hint="eastAsia" w:cs="Times New Roman"/>
        </w:rPr>
        <w:t>本文件适用于炼油行业生产过程碳捕集的计算、考核，涵盖原油蒸馏、催化裂化、加氢裂化、重整、延迟焦化等生产过程。炼油企业在生产过程中产生的二氧化碳可通过碳捕集技术进行捕集、利用和封存（</w:t>
      </w:r>
      <w:r>
        <w:rPr>
          <w:rFonts w:cs="Times New Roman"/>
        </w:rPr>
        <w:t>CCUS），以减少温室气体排放。碳排放量的核算依据为《中国石油化工企业温室气体排放核算方法与报告指南》。为提升产品</w:t>
      </w:r>
      <w:r>
        <w:rPr>
          <w:rFonts w:hint="eastAsia" w:cs="Times New Roman"/>
        </w:rPr>
        <w:t>收率并减少副产物及污染物产生，炼油企业应采用密闭、替代、回收和综合利用等措施，实现污染物和二氧化碳的协同减排。同时，推动智能化转型，采用先进控制技术和多能耦合，合理开发利用“绿氢”，并鼓励利用制氢装置所排二氧化碳的高纯度和低捕集成本，开展二氧化碳规模化捕集、封存、驱油和制化学品等示范。这些措施将有效促进炼油行业的绿色低碳发展。</w:t>
      </w:r>
    </w:p>
    <w:p w14:paraId="7E35B463">
      <w:pPr>
        <w:pStyle w:val="3"/>
        <w:spacing w:before="156" w:after="156"/>
      </w:pPr>
      <w:bookmarkStart w:id="13" w:name="_Toc184636996"/>
      <w:r>
        <w:rPr>
          <w:rFonts w:hint="eastAsia"/>
        </w:rPr>
        <w:t>术语和定义</w:t>
      </w:r>
      <w:bookmarkEnd w:id="13"/>
    </w:p>
    <w:p w14:paraId="6D5628A2">
      <w:pPr>
        <w:pStyle w:val="23"/>
        <w:ind w:firstLine="480"/>
      </w:pPr>
      <w:r>
        <w:rPr>
          <w:rFonts w:hint="eastAsia"/>
        </w:rPr>
        <w:t>本标准参照</w:t>
      </w:r>
      <w:r>
        <w:t>GB 30251 炼油单位产品能源消耗限额</w:t>
      </w:r>
      <w:r>
        <w:rPr>
          <w:rFonts w:hint="eastAsia"/>
        </w:rPr>
        <w:t>、</w:t>
      </w:r>
      <w:r>
        <w:t>GB 31570 石油炼制工业污染物排放标准</w:t>
      </w:r>
      <w:r>
        <w:rPr>
          <w:rFonts w:hint="eastAsia"/>
        </w:rPr>
        <w:t>、</w:t>
      </w:r>
      <w:r>
        <w:t>GB∕T 32150 工业企业温室气体排放核算和报告通则</w:t>
      </w:r>
      <w:r>
        <w:rPr>
          <w:rFonts w:hint="eastAsia"/>
        </w:rPr>
        <w:t>、</w:t>
      </w:r>
      <w:r>
        <w:t>GB/T 51316-2018 烟气二氧化碳捕集纯化工程设计标准</w:t>
      </w:r>
      <w:r>
        <w:rPr>
          <w:rFonts w:hint="eastAsia"/>
        </w:rPr>
        <w:t>、</w:t>
      </w:r>
      <w:r>
        <w:t>DL/T 5375-2018 火力发电厂可行性研究报告内容深度规定</w:t>
      </w:r>
      <w:r>
        <w:rPr>
          <w:rFonts w:hint="eastAsia"/>
        </w:rPr>
        <w:t>、中国石油化工生产企业温室气体排放核算方法与报告指南（试行版，发改办气候</w:t>
      </w:r>
      <w:r>
        <w:t xml:space="preserve"> [2014] 2920号附件2） 省级温室气体清单编制指南（试行版，发改办气候[2010] 2350号）</w:t>
      </w:r>
      <w:r>
        <w:rPr>
          <w:rFonts w:hint="eastAsia"/>
        </w:rPr>
        <w:t>、企业温室气体排放核算方法与报告指南</w:t>
      </w:r>
      <w:r>
        <w:t xml:space="preserve"> 发电设施（试行版，环办气候[2021] 9号附件2）</w:t>
      </w:r>
      <w:r>
        <w:rPr>
          <w:rFonts w:hint="eastAsia"/>
        </w:rPr>
        <w:t>等术语和定义。</w:t>
      </w:r>
    </w:p>
    <w:p w14:paraId="1D61B3A2">
      <w:pPr>
        <w:pStyle w:val="3"/>
        <w:spacing w:before="156" w:after="156"/>
      </w:pPr>
      <w:bookmarkStart w:id="14" w:name="_Toc184636997"/>
      <w:r>
        <w:rPr>
          <w:rFonts w:hint="eastAsia"/>
        </w:rPr>
        <w:t>技术要求</w:t>
      </w:r>
      <w:bookmarkEnd w:id="14"/>
    </w:p>
    <w:p w14:paraId="2A87B78D">
      <w:pPr>
        <w:pStyle w:val="23"/>
        <w:ind w:firstLine="480"/>
      </w:pPr>
      <w:r>
        <w:rPr>
          <w:rFonts w:hint="eastAsia"/>
        </w:rPr>
        <w:t>本文件适用于炼油行业生产过程污染治理措施碳排放量的计算、考核，以及对新建或改（扩）建企业的污染治理措施碳排放控制，涵盖原油蒸馏、催化裂化、加氢裂化、重整、延迟焦化等生产过程。根据炼油行业的现状及污染物排放特点，废气污染物源头管控措施的碳排放水平按单位原油加工量计算，废气污染物末端治理措施的碳排放水平按单位污染物去除量计算，废水污染物治理措施的碳排放水平按水处理量计算。</w:t>
      </w:r>
    </w:p>
    <w:p w14:paraId="3646F0C1">
      <w:pPr>
        <w:pStyle w:val="23"/>
        <w:ind w:firstLine="480"/>
      </w:pPr>
      <w:r>
        <w:rPr>
          <w:rFonts w:hint="eastAsia"/>
        </w:rPr>
        <w:t>在碳捕集方面，炼油企业可以采用化学吸收法、物理吸收法、膜分离法等技术进行二氧化碳的捕集和利用。通过实施</w:t>
      </w:r>
      <w:r>
        <w:t>CCUS（碳捕集、利用与封存）技术，炼油行业能够有效减少温室气体排放，促进绿色低碳发展。此外，推动智能化转型和多能耦合，合理开发利用“绿氢”，也将为降低碳排放提供新的路径和解决方案。</w:t>
      </w:r>
    </w:p>
    <w:p w14:paraId="5A8EF68D">
      <w:pPr>
        <w:pStyle w:val="3"/>
        <w:spacing w:before="156" w:after="156"/>
      </w:pPr>
      <w:bookmarkStart w:id="15" w:name="_Toc184636998"/>
      <w:r>
        <w:rPr>
          <w:rFonts w:hint="eastAsia"/>
        </w:rPr>
        <w:t>统计范围和计算方法</w:t>
      </w:r>
      <w:bookmarkEnd w:id="15"/>
    </w:p>
    <w:p w14:paraId="425B4CEA">
      <w:pPr>
        <w:pStyle w:val="23"/>
        <w:ind w:firstLine="480"/>
      </w:pPr>
      <w:r>
        <w:rPr>
          <w:rFonts w:hint="eastAsia"/>
        </w:rPr>
        <w:t>本文件中所述碳排放量涵盖了炼油行业的生产系统、辅助生产系统和附属生产系统产生的直接碳排放和间接碳排放量，碳排放量的核算参照以下文件进行计算，以确保炼油行业碳捕集和排放管理的准确性和合规性。</w:t>
      </w:r>
    </w:p>
    <w:p w14:paraId="16690C99">
      <w:pPr>
        <w:pStyle w:val="23"/>
        <w:ind w:firstLine="480"/>
      </w:pPr>
      <w:r>
        <w:rPr>
          <w:rFonts w:hint="eastAsia"/>
        </w:rPr>
        <w:t>参照文件：</w:t>
      </w:r>
    </w:p>
    <w:p w14:paraId="40CFF677">
      <w:pPr>
        <w:pStyle w:val="23"/>
        <w:ind w:firstLine="480"/>
      </w:pPr>
      <w:r>
        <w:rPr>
          <w:rFonts w:hint="eastAsia"/>
        </w:rPr>
        <w:t>GB 30251 炼油单位产品能源消耗限额</w:t>
      </w:r>
    </w:p>
    <w:p w14:paraId="052F110B">
      <w:pPr>
        <w:pStyle w:val="23"/>
        <w:ind w:firstLine="480"/>
      </w:pPr>
      <w:r>
        <w:rPr>
          <w:rFonts w:hint="eastAsia"/>
        </w:rPr>
        <w:t>GB 31570 石油炼制工业污染物排放标准</w:t>
      </w:r>
    </w:p>
    <w:p w14:paraId="79AD965A">
      <w:pPr>
        <w:pStyle w:val="23"/>
        <w:ind w:firstLine="480"/>
      </w:pPr>
      <w:r>
        <w:rPr>
          <w:rFonts w:hint="eastAsia"/>
        </w:rPr>
        <w:t>GB∕T 32150 工业企业温室气体排放核算和报告通则</w:t>
      </w:r>
    </w:p>
    <w:p w14:paraId="136E0637">
      <w:pPr>
        <w:pStyle w:val="23"/>
        <w:ind w:firstLine="480"/>
      </w:pPr>
      <w:r>
        <w:rPr>
          <w:rFonts w:hint="eastAsia"/>
        </w:rPr>
        <w:t>GB/T 51316-2018 烟气二氧化碳捕集纯化工程设计标准</w:t>
      </w:r>
    </w:p>
    <w:p w14:paraId="7EF127D8">
      <w:pPr>
        <w:pStyle w:val="23"/>
        <w:ind w:firstLine="480"/>
      </w:pPr>
      <w:r>
        <w:rPr>
          <w:rFonts w:hint="eastAsia"/>
        </w:rPr>
        <w:t>DL/T 5375-2018 火力发电厂可行性研究报告内容深度规定</w:t>
      </w:r>
    </w:p>
    <w:p w14:paraId="04928EB2">
      <w:pPr>
        <w:pStyle w:val="23"/>
        <w:ind w:firstLine="480"/>
      </w:pPr>
      <w:r>
        <w:rPr>
          <w:rFonts w:hint="eastAsia"/>
        </w:rPr>
        <w:t>中国石油化工生产企业温室气体排放核算方法与报告指南（试行版，发改办气候 [2014] 2920号附件2） 省级温室气体清单编制指南（试行版，发改办气候[2010] 2350号）</w:t>
      </w:r>
    </w:p>
    <w:p w14:paraId="4F15EDBE">
      <w:pPr>
        <w:pStyle w:val="23"/>
        <w:ind w:firstLine="480"/>
        <w:rPr>
          <w:highlight w:val="yellow"/>
        </w:rPr>
      </w:pPr>
      <w:r>
        <w:rPr>
          <w:rFonts w:hint="eastAsia"/>
        </w:rPr>
        <w:t>企业温室气体排放核算方法与报告指南 发电设施（试行版，环办气候[2021] 9号附件2）</w:t>
      </w:r>
    </w:p>
    <w:p w14:paraId="135EEF26">
      <w:pPr>
        <w:pStyle w:val="2"/>
        <w:spacing w:before="156" w:after="156"/>
      </w:pPr>
      <w:bookmarkStart w:id="16" w:name="_Toc184636999"/>
      <w:r>
        <w:rPr>
          <w:rFonts w:hint="eastAsia"/>
        </w:rPr>
        <w:t>与国际、国外同类标准水平的对比情况</w:t>
      </w:r>
      <w:bookmarkEnd w:id="16"/>
    </w:p>
    <w:p w14:paraId="3C094E4F">
      <w:pPr>
        <w:pStyle w:val="23"/>
        <w:ind w:firstLine="480"/>
      </w:pPr>
      <w:r>
        <w:t>国内外目前无</w:t>
      </w:r>
      <w:r>
        <w:rPr>
          <w:rFonts w:hint="eastAsia"/>
        </w:rPr>
        <w:t>相关标准。</w:t>
      </w:r>
    </w:p>
    <w:p w14:paraId="4C0E0DCE">
      <w:pPr>
        <w:pStyle w:val="2"/>
        <w:spacing w:before="156" w:after="156"/>
      </w:pPr>
      <w:bookmarkStart w:id="17" w:name="_Toc184637000"/>
      <w:r>
        <w:rPr>
          <w:rFonts w:hint="eastAsia"/>
        </w:rPr>
        <w:t>与现行法律、法规和强制性标准的关系</w:t>
      </w:r>
      <w:bookmarkEnd w:id="17"/>
    </w:p>
    <w:p w14:paraId="52348142">
      <w:pPr>
        <w:pStyle w:val="23"/>
        <w:ind w:firstLine="460"/>
        <w:rPr>
          <w:u w:val="single"/>
        </w:rPr>
      </w:pPr>
      <w:r>
        <w:rPr>
          <w:rFonts w:hint="eastAsia"/>
          <w:sz w:val="23"/>
          <w:szCs w:val="23"/>
        </w:rPr>
        <w:t>至标准编制之日尚未发现与计划编制标准相冲突的现行法律、法规和强制性国家标准。</w:t>
      </w:r>
    </w:p>
    <w:p w14:paraId="434FB09F">
      <w:pPr>
        <w:pStyle w:val="2"/>
        <w:spacing w:before="156" w:after="156"/>
      </w:pPr>
      <w:bookmarkStart w:id="18" w:name="_Toc184637001"/>
      <w:r>
        <w:rPr>
          <w:rFonts w:hint="eastAsia"/>
        </w:rPr>
        <w:t>重大分歧意见的处理</w:t>
      </w:r>
      <w:bookmarkEnd w:id="18"/>
    </w:p>
    <w:p w14:paraId="63378FF6">
      <w:pPr>
        <w:pStyle w:val="23"/>
        <w:ind w:firstLine="480"/>
      </w:pPr>
      <w:r>
        <w:rPr>
          <w:rFonts w:hint="eastAsia"/>
        </w:rPr>
        <w:t>暂无。</w:t>
      </w:r>
    </w:p>
    <w:p w14:paraId="659AC627">
      <w:pPr>
        <w:pStyle w:val="2"/>
        <w:spacing w:before="156" w:after="156"/>
      </w:pPr>
      <w:bookmarkStart w:id="19" w:name="_Toc184637002"/>
      <w:r>
        <w:rPr>
          <w:rFonts w:hint="eastAsia"/>
        </w:rPr>
        <w:t>其他应予以说明的事项</w:t>
      </w:r>
      <w:bookmarkEnd w:id="19"/>
    </w:p>
    <w:p w14:paraId="3B0BD26B">
      <w:pPr>
        <w:pStyle w:val="23"/>
        <w:ind w:firstLine="480"/>
      </w:pPr>
      <w:r>
        <w:rPr>
          <w:rFonts w:hint="eastAsia" w:ascii="宋体" w:hAnsi="宋体"/>
        </w:rPr>
        <w:t>新建炼油项目应在环境影响评价阶段计算本标准中给出的碳排放水平，高于基准值上限的，应采取措施降低碳排放水平，确实无法达到的应进行合理性说明；在基准值范围内的，也鼓励持续改进，不断改善炼油行业污染治理措施的碳排放水平，为污染治理措施比选提供技术支撑。炼油企业应为污染治理措施单独合理配备能源及碳排放计量器具和仪器仪表，并使计量设备处于良好状态；对基础数据进行有效的检测、度量和计算，确保能源及碳排放基础数据的准确性和完整性。本标准中“不同炼油工艺流程单位产品直接碳排放水平基准”与《石油炼制行业碳排放基准》中“炼油工艺流程单位产品直接碳排放量限值”在核算边界、分类方式等方面存在差异，炼油企业应分别予以核算。建议本标准发布实施后，对炼油企业或建设项目污染治理措施</w:t>
      </w:r>
      <w:r>
        <w:rPr>
          <w:rFonts w:ascii="宋体" w:hAnsi="宋体"/>
        </w:rPr>
        <w:t>CO</w:t>
      </w:r>
      <w:r>
        <w:rPr>
          <w:rFonts w:ascii="宋体" w:hAnsi="宋体"/>
          <w:vertAlign w:val="subscript"/>
        </w:rPr>
        <w:t>2</w:t>
      </w:r>
      <w:r>
        <w:rPr>
          <w:rFonts w:ascii="宋体" w:hAnsi="宋体"/>
        </w:rPr>
        <w:t>排放水平、减污降碳技术和措施的应用情况等进行持续跟踪并更新相应数据，同时，应按照《国家发展改革委市场监管总局生态环境部关于进一步强化碳达峰碳中和标准计量体系建设行动方案（2024-2025年）的通知》（发改环资[2024]1046号）等要求，加快推进企业或项目的污染治理措施单独合理配备电、能源及碳排放计量器具和仪器仪表，并使计量设备处于良好状态；对基础数</w:t>
      </w:r>
      <w:r>
        <w:rPr>
          <w:rFonts w:hint="eastAsia" w:ascii="宋体" w:hAnsi="宋体"/>
        </w:rPr>
        <w:t>据进行有效的检测、度量和计算，确保电耗、能源消耗及碳排放基础数据的准确性和完整性，为后续标准的修订，亦或者上升为行业乃至国家标准提供技术支撑</w:t>
      </w:r>
      <w:r>
        <w:t>。</w:t>
      </w:r>
    </w:p>
    <w:p w14:paraId="584B1397">
      <w:pPr>
        <w:pStyle w:val="23"/>
        <w:ind w:firstLine="480"/>
      </w:pPr>
      <w:r>
        <w:rPr>
          <w:rFonts w:hint="eastAsia"/>
        </w:rPr>
        <w:t>炼油行业作为我国能源消耗和二氧化碳排放的重点行业，实施碳减排标准将直接减少温室气体排放，对抗全球气候变化，保护生态环境，促进可持续发展。根据国家发展改革委等部门关于印发《炼油行业节能降碳专项行动计划》的通知（发改环资〔2024〕731号），到2025年底，全国原油一次加工能力控制在10亿吨以内，能效标杆水平以上产能占比超过30%，能效基准水平以下产能完成技术改造或淘汰退出，形成节能量约200万吨标准煤、减排二氧化碳约500万吨。</w:t>
      </w:r>
    </w:p>
    <w:p w14:paraId="7E5AE12E">
      <w:pPr>
        <w:pStyle w:val="23"/>
        <w:ind w:firstLine="480"/>
      </w:pPr>
      <w:r>
        <w:rPr>
          <w:rFonts w:hint="eastAsia"/>
        </w:rPr>
        <w:t>其次，从技术进步和产业升级的角度，碳减排标准将推动炼油企业采用更先进的节能技术和清洁生产工艺，如CCUS技术、“蓝氢”“绿氢”“绿电”技术、电气化技术和节能减排等措施。这些技术的应用将提高能效，降低碳排放，推动技术进步和产业升级。</w:t>
      </w:r>
    </w:p>
    <w:p w14:paraId="103B1108">
      <w:pPr>
        <w:pStyle w:val="23"/>
        <w:ind w:firstLine="480"/>
      </w:pPr>
      <w:r>
        <w:rPr>
          <w:rFonts w:hint="eastAsia"/>
        </w:rPr>
        <w:t>再者，从经济效益角度，虽然短期内可能会增加企业的成本，但从长远来看，碳减排可以带来经济效益。《炼油行业节能降碳专项行动计划》（发改环资〔2024〕731号）中提到，通过节能降碳改造和用能设备更新，将形成节能量约200万吨标准煤、减排二氧化碳约500万吨，这将降低企业的生产成本，提高经济效益。</w:t>
      </w:r>
    </w:p>
    <w:p w14:paraId="120BEF06">
      <w:pPr>
        <w:pStyle w:val="23"/>
        <w:ind w:firstLine="480"/>
      </w:pPr>
      <w:r>
        <w:rPr>
          <w:rFonts w:hint="eastAsia"/>
        </w:rPr>
        <w:t>此外，从国际竞争力角度，实施碳减排标准有助于提升炼油企业的国际竞争力。在全球范围内，低碳产品越来越受到重视，实施碳减排标准可以帮助企业满足国际市场对低碳产品的需求，增强其在全球市场中的竞争力。</w:t>
      </w:r>
    </w:p>
    <w:p w14:paraId="42A0980B">
      <w:pPr>
        <w:pStyle w:val="23"/>
        <w:ind w:firstLine="480"/>
      </w:pPr>
      <w:r>
        <w:rPr>
          <w:rFonts w:hint="eastAsia"/>
        </w:rPr>
        <w:t>政策支持和市场激励也是建立碳减排标准的好处之一。《炼油行业节能降碳专项行动计划》（发改环资〔2024〕731号）中明确了重点任务和相关政策保障，包括强化激励约束、加大资金支持等，这将进一步降低企业的环保成本，促进企业绿色转型。</w:t>
      </w:r>
    </w:p>
    <w:p w14:paraId="2FBFE687">
      <w:pPr>
        <w:pStyle w:val="23"/>
        <w:ind w:firstLine="480"/>
      </w:pPr>
      <w:r>
        <w:rPr>
          <w:rFonts w:hint="eastAsia"/>
        </w:rPr>
        <w:t>风险管理方面，建立碳减排标准有助于企业更好地预测和管理与碳排放相关的风险，实现稳健经营。《炼油行业节能降碳专项行动计划》（发改环资〔2024〕731号）中提到，将研究制定低碳炼油技术评价标准，探索重点产品碳足迹核算方法，探索开展炼油企业碳排放计量、监测试点，研究建立炼油企业碳排放与产品碳足迹数据库。</w:t>
      </w:r>
    </w:p>
    <w:p w14:paraId="27D77C78">
      <w:pPr>
        <w:pStyle w:val="23"/>
        <w:ind w:firstLine="480"/>
      </w:pPr>
      <w:r>
        <w:rPr>
          <w:rFonts w:hint="eastAsia"/>
        </w:rPr>
        <w:t>最后，从循环经济的角度，碳减排标准鼓励炼油企业探索废塑料、废润滑油等废弃有机物的资源化利用，推动循环经济的发展。</w:t>
      </w:r>
    </w:p>
    <w:p w14:paraId="6877F5DA">
      <w:pPr>
        <w:pStyle w:val="23"/>
        <w:ind w:firstLine="480"/>
      </w:pPr>
      <w:r>
        <w:rPr>
          <w:rFonts w:hint="eastAsia"/>
        </w:rPr>
        <w:t>综上所述，建立《炼油行业碳捕集项目评价指南》对于环境保护、技术进步、经济效益提升、国际竞争力增强以及风险管理等方面均具有重要意义，是实现环境保护和经济发展双赢的重要举措，得到了国家层面的文件支持和强调</w:t>
      </w:r>
    </w:p>
    <w:p w14:paraId="330DC50E">
      <w:pPr>
        <w:pStyle w:val="23"/>
        <w:ind w:firstLine="480"/>
        <w:rPr>
          <w:highlight w:val="yellow"/>
        </w:rPr>
      </w:pPr>
      <w:r>
        <w:rPr>
          <w:rFonts w:hint="eastAsia"/>
        </w:rPr>
        <w:t>。</w:t>
      </w:r>
    </w:p>
    <w:p w14:paraId="603E6A20">
      <w:pPr>
        <w:pStyle w:val="23"/>
        <w:ind w:firstLine="480"/>
        <w:rPr>
          <w:highlight w:val="yellow"/>
        </w:rPr>
      </w:pPr>
    </w:p>
    <w:p w14:paraId="4C6DD933">
      <w:pPr>
        <w:pStyle w:val="23"/>
        <w:ind w:firstLine="480"/>
        <w:rPr>
          <w:highlight w:val="yellow"/>
        </w:rPr>
      </w:pPr>
    </w:p>
    <w:p w14:paraId="0169CFA8">
      <w:pPr>
        <w:pStyle w:val="23"/>
        <w:ind w:firstLine="480"/>
        <w:rPr>
          <w:highlight w:val="yellow"/>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295D6">
    <w:pPr>
      <w:pStyle w:val="11"/>
      <w:jc w:val="center"/>
      <w:rPr>
        <w:rFonts w:hint="eastAsia"/>
      </w:rPr>
    </w:pPr>
  </w:p>
  <w:p w14:paraId="57BB05D6">
    <w:pPr>
      <w:pStyle w:val="11"/>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58145686"/>
    </w:sdtPr>
    <w:sdtEndPr>
      <w:rPr>
        <w:sz w:val="21"/>
        <w:szCs w:val="21"/>
      </w:rPr>
    </w:sdtEndPr>
    <w:sdtContent>
      <w:p w14:paraId="576534B4">
        <w:pPr>
          <w:pStyle w:val="11"/>
          <w:jc w:val="center"/>
          <w:rPr>
            <w:rFonts w:hint="eastAsia"/>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I</w:t>
        </w:r>
        <w:r>
          <w:rPr>
            <w:sz w:val="21"/>
            <w:szCs w:val="21"/>
          </w:rPr>
          <w:fldChar w:fldCharType="end"/>
        </w:r>
      </w:p>
    </w:sdtContent>
  </w:sdt>
  <w:p w14:paraId="60A3B042">
    <w:pPr>
      <w:pStyle w:val="11"/>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17666822"/>
    </w:sdtPr>
    <w:sdtEndPr>
      <w:rPr>
        <w:rFonts w:ascii="Times New Roman" w:hAnsi="Times New Roman" w:cs="Times New Roman"/>
      </w:rPr>
    </w:sdtEndPr>
    <w:sdtContent>
      <w:p w14:paraId="6116815D">
        <w:pPr>
          <w:pStyle w:val="11"/>
          <w:jc w:val="center"/>
          <w:rPr>
            <w:rFonts w:ascii="Times New Roman" w:hAnsi="Times New Roman" w:cs="Times New Roman"/>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3</w:t>
        </w:r>
        <w:r>
          <w:rPr>
            <w:rFonts w:ascii="Times New Roman" w:hAnsi="Times New Roman" w:cs="Times New Roman"/>
            <w:sz w:val="21"/>
            <w:szCs w:val="21"/>
          </w:rPr>
          <w:fldChar w:fldCharType="end"/>
        </w:r>
      </w:p>
    </w:sdtContent>
  </w:sdt>
  <w:p w14:paraId="376DC4E6">
    <w:pPr>
      <w:pStyle w:val="11"/>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EC45CD"/>
    <w:multiLevelType w:val="multilevel"/>
    <w:tmpl w:val="4CEC45CD"/>
    <w:lvl w:ilvl="0" w:tentative="0">
      <w:start w:val="1"/>
      <w:numFmt w:val="decimal"/>
      <w:pStyle w:val="2"/>
      <w:lvlText w:val="%1"/>
      <w:lvlJc w:val="left"/>
      <w:pPr>
        <w:tabs>
          <w:tab w:val="left" w:pos="124"/>
        </w:tabs>
        <w:ind w:left="-330" w:firstLine="0"/>
      </w:pPr>
      <w:rPr>
        <w:rFonts w:hint="eastAsia"/>
      </w:rPr>
    </w:lvl>
    <w:lvl w:ilvl="1" w:tentative="0">
      <w:start w:val="1"/>
      <w:numFmt w:val="decimal"/>
      <w:pStyle w:val="3"/>
      <w:lvlText w:val="%1.%2"/>
      <w:lvlJc w:val="left"/>
      <w:pPr>
        <w:tabs>
          <w:tab w:val="left" w:pos="-330"/>
        </w:tabs>
        <w:ind w:left="-330" w:firstLine="0"/>
      </w:pPr>
      <w:rPr>
        <w:rFonts w:hint="eastAsia"/>
      </w:rPr>
    </w:lvl>
    <w:lvl w:ilvl="2" w:tentative="0">
      <w:start w:val="1"/>
      <w:numFmt w:val="decimal"/>
      <w:pStyle w:val="4"/>
      <w:lvlText w:val="%1.%2.%3"/>
      <w:lvlJc w:val="left"/>
      <w:pPr>
        <w:tabs>
          <w:tab w:val="left" w:pos="390"/>
        </w:tabs>
        <w:ind w:left="390" w:hanging="720"/>
      </w:pPr>
      <w:rPr>
        <w:rFonts w:hint="default" w:ascii="Times New Roman" w:hAnsi="Times New Roman" w:cs="Times New Roman"/>
      </w:rPr>
    </w:lvl>
    <w:lvl w:ilvl="3" w:tentative="0">
      <w:start w:val="1"/>
      <w:numFmt w:val="decimal"/>
      <w:pStyle w:val="5"/>
      <w:lvlText w:val="%1.%2.%3.%4"/>
      <w:lvlJc w:val="left"/>
      <w:pPr>
        <w:tabs>
          <w:tab w:val="left" w:pos="534"/>
        </w:tabs>
        <w:ind w:left="534" w:hanging="864"/>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4" w:tentative="0">
      <w:start w:val="1"/>
      <w:numFmt w:val="decimal"/>
      <w:lvlText w:val="%1.%2.%3.%4.%5"/>
      <w:lvlJc w:val="left"/>
      <w:pPr>
        <w:tabs>
          <w:tab w:val="left" w:pos="678"/>
        </w:tabs>
        <w:ind w:left="678" w:hanging="1008"/>
      </w:pPr>
      <w:rPr>
        <w:rFonts w:hint="eastAsia"/>
      </w:rPr>
    </w:lvl>
    <w:lvl w:ilvl="5" w:tentative="0">
      <w:start w:val="1"/>
      <w:numFmt w:val="decimal"/>
      <w:lvlText w:val="%1.%2.%3.%4.%5.%6"/>
      <w:lvlJc w:val="left"/>
      <w:pPr>
        <w:tabs>
          <w:tab w:val="left" w:pos="822"/>
        </w:tabs>
        <w:ind w:left="822" w:hanging="1152"/>
      </w:pPr>
      <w:rPr>
        <w:rFonts w:hint="eastAsia"/>
      </w:rPr>
    </w:lvl>
    <w:lvl w:ilvl="6" w:tentative="0">
      <w:start w:val="1"/>
      <w:numFmt w:val="decimal"/>
      <w:lvlText w:val="%1.%2.%3.%4.%5.%6.%7"/>
      <w:lvlJc w:val="left"/>
      <w:pPr>
        <w:tabs>
          <w:tab w:val="left" w:pos="966"/>
        </w:tabs>
        <w:ind w:left="966" w:hanging="1296"/>
      </w:pPr>
      <w:rPr>
        <w:rFonts w:hint="eastAsia"/>
      </w:rPr>
    </w:lvl>
    <w:lvl w:ilvl="7" w:tentative="0">
      <w:start w:val="1"/>
      <w:numFmt w:val="decimal"/>
      <w:lvlText w:val="%1.%2.%3.%4.%5.%6.%7.%8"/>
      <w:lvlJc w:val="left"/>
      <w:pPr>
        <w:tabs>
          <w:tab w:val="left" w:pos="1110"/>
        </w:tabs>
        <w:ind w:left="1110" w:hanging="1440"/>
      </w:pPr>
      <w:rPr>
        <w:rFonts w:hint="eastAsia"/>
      </w:rPr>
    </w:lvl>
    <w:lvl w:ilvl="8" w:tentative="0">
      <w:start w:val="1"/>
      <w:numFmt w:val="decimal"/>
      <w:lvlText w:val="%1.%2.%3.%4.%5.%6.%7.%8.%9"/>
      <w:lvlJc w:val="left"/>
      <w:pPr>
        <w:tabs>
          <w:tab w:val="left" w:pos="1254"/>
        </w:tabs>
        <w:ind w:left="125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gwNzk2YmQyNmJlMDFmNTEyNzAyZTM1ZjQ5NDk5MWIifQ=="/>
  </w:docVars>
  <w:rsids>
    <w:rsidRoot w:val="0083461B"/>
    <w:rsid w:val="000050F6"/>
    <w:rsid w:val="0000668A"/>
    <w:rsid w:val="000069EF"/>
    <w:rsid w:val="00014BF8"/>
    <w:rsid w:val="00026FDE"/>
    <w:rsid w:val="00055D0A"/>
    <w:rsid w:val="00056A97"/>
    <w:rsid w:val="00074338"/>
    <w:rsid w:val="0008096A"/>
    <w:rsid w:val="00082D51"/>
    <w:rsid w:val="000A11FD"/>
    <w:rsid w:val="000B3589"/>
    <w:rsid w:val="000C4774"/>
    <w:rsid w:val="000D15E8"/>
    <w:rsid w:val="000D3456"/>
    <w:rsid w:val="000F329C"/>
    <w:rsid w:val="000F5484"/>
    <w:rsid w:val="000F5DC7"/>
    <w:rsid w:val="000F63F2"/>
    <w:rsid w:val="001000C4"/>
    <w:rsid w:val="00100117"/>
    <w:rsid w:val="00101211"/>
    <w:rsid w:val="0010686D"/>
    <w:rsid w:val="00113F0F"/>
    <w:rsid w:val="00115CF3"/>
    <w:rsid w:val="00123E15"/>
    <w:rsid w:val="0013638A"/>
    <w:rsid w:val="00141B94"/>
    <w:rsid w:val="00146EA5"/>
    <w:rsid w:val="001518FA"/>
    <w:rsid w:val="001569CE"/>
    <w:rsid w:val="00157CCE"/>
    <w:rsid w:val="00161793"/>
    <w:rsid w:val="00165610"/>
    <w:rsid w:val="00166BE6"/>
    <w:rsid w:val="00167DB0"/>
    <w:rsid w:val="001814AE"/>
    <w:rsid w:val="00184405"/>
    <w:rsid w:val="00191FED"/>
    <w:rsid w:val="0019217D"/>
    <w:rsid w:val="001A31D7"/>
    <w:rsid w:val="001A67E9"/>
    <w:rsid w:val="001B17BD"/>
    <w:rsid w:val="001B1C93"/>
    <w:rsid w:val="001C4071"/>
    <w:rsid w:val="001C643C"/>
    <w:rsid w:val="001C7A35"/>
    <w:rsid w:val="001E2A99"/>
    <w:rsid w:val="001E5E8E"/>
    <w:rsid w:val="001F07E4"/>
    <w:rsid w:val="00201AE1"/>
    <w:rsid w:val="00202B2A"/>
    <w:rsid w:val="00210F80"/>
    <w:rsid w:val="0021197F"/>
    <w:rsid w:val="00216541"/>
    <w:rsid w:val="0021758F"/>
    <w:rsid w:val="00217CF5"/>
    <w:rsid w:val="002260D9"/>
    <w:rsid w:val="002262B1"/>
    <w:rsid w:val="00240FBF"/>
    <w:rsid w:val="00247CEA"/>
    <w:rsid w:val="00257FBA"/>
    <w:rsid w:val="0026705B"/>
    <w:rsid w:val="00272796"/>
    <w:rsid w:val="00275F57"/>
    <w:rsid w:val="0028016F"/>
    <w:rsid w:val="00282779"/>
    <w:rsid w:val="002879B5"/>
    <w:rsid w:val="00291DA5"/>
    <w:rsid w:val="0029273F"/>
    <w:rsid w:val="00294D3D"/>
    <w:rsid w:val="002A1C9D"/>
    <w:rsid w:val="002A20E7"/>
    <w:rsid w:val="002A7824"/>
    <w:rsid w:val="002C0D51"/>
    <w:rsid w:val="002C14C0"/>
    <w:rsid w:val="002C24F2"/>
    <w:rsid w:val="002C250A"/>
    <w:rsid w:val="002C4852"/>
    <w:rsid w:val="002E1389"/>
    <w:rsid w:val="002F051E"/>
    <w:rsid w:val="002F46E0"/>
    <w:rsid w:val="002F4B7E"/>
    <w:rsid w:val="002F58F5"/>
    <w:rsid w:val="00305245"/>
    <w:rsid w:val="003070D8"/>
    <w:rsid w:val="00324C1F"/>
    <w:rsid w:val="00333A29"/>
    <w:rsid w:val="003377BB"/>
    <w:rsid w:val="00343334"/>
    <w:rsid w:val="00355240"/>
    <w:rsid w:val="00365FC3"/>
    <w:rsid w:val="00366526"/>
    <w:rsid w:val="00366B53"/>
    <w:rsid w:val="0037068B"/>
    <w:rsid w:val="00371164"/>
    <w:rsid w:val="00376A81"/>
    <w:rsid w:val="003911B3"/>
    <w:rsid w:val="0039301E"/>
    <w:rsid w:val="00397243"/>
    <w:rsid w:val="003B125B"/>
    <w:rsid w:val="003B2057"/>
    <w:rsid w:val="003D10DD"/>
    <w:rsid w:val="003E25A8"/>
    <w:rsid w:val="003F5326"/>
    <w:rsid w:val="00400170"/>
    <w:rsid w:val="0040048A"/>
    <w:rsid w:val="00400A78"/>
    <w:rsid w:val="004018BB"/>
    <w:rsid w:val="004063F0"/>
    <w:rsid w:val="004072F4"/>
    <w:rsid w:val="0041259A"/>
    <w:rsid w:val="00427266"/>
    <w:rsid w:val="00436083"/>
    <w:rsid w:val="00436E23"/>
    <w:rsid w:val="00441B72"/>
    <w:rsid w:val="00442F2A"/>
    <w:rsid w:val="00444F76"/>
    <w:rsid w:val="00453FA1"/>
    <w:rsid w:val="00466CD0"/>
    <w:rsid w:val="00473233"/>
    <w:rsid w:val="00474AA3"/>
    <w:rsid w:val="00475676"/>
    <w:rsid w:val="00483E3E"/>
    <w:rsid w:val="00483FDC"/>
    <w:rsid w:val="00485F3D"/>
    <w:rsid w:val="00486AE3"/>
    <w:rsid w:val="0049038F"/>
    <w:rsid w:val="004911E7"/>
    <w:rsid w:val="0049298C"/>
    <w:rsid w:val="00494F17"/>
    <w:rsid w:val="004A1624"/>
    <w:rsid w:val="004A4B39"/>
    <w:rsid w:val="004A584B"/>
    <w:rsid w:val="004B14DD"/>
    <w:rsid w:val="004B1DED"/>
    <w:rsid w:val="004B27C5"/>
    <w:rsid w:val="004B5F89"/>
    <w:rsid w:val="004C36DF"/>
    <w:rsid w:val="004C4694"/>
    <w:rsid w:val="004C476D"/>
    <w:rsid w:val="004C4FE1"/>
    <w:rsid w:val="004E22A3"/>
    <w:rsid w:val="004E6E21"/>
    <w:rsid w:val="004E7EE0"/>
    <w:rsid w:val="004F6C59"/>
    <w:rsid w:val="00500F4E"/>
    <w:rsid w:val="0051068B"/>
    <w:rsid w:val="00513576"/>
    <w:rsid w:val="005140E5"/>
    <w:rsid w:val="00517531"/>
    <w:rsid w:val="00523F9D"/>
    <w:rsid w:val="00541B40"/>
    <w:rsid w:val="0054299C"/>
    <w:rsid w:val="005445B7"/>
    <w:rsid w:val="0054629B"/>
    <w:rsid w:val="00552B54"/>
    <w:rsid w:val="00555A2D"/>
    <w:rsid w:val="00556CF1"/>
    <w:rsid w:val="00561C66"/>
    <w:rsid w:val="00562224"/>
    <w:rsid w:val="0056325B"/>
    <w:rsid w:val="00563F33"/>
    <w:rsid w:val="00566792"/>
    <w:rsid w:val="0057054B"/>
    <w:rsid w:val="0057073B"/>
    <w:rsid w:val="00583073"/>
    <w:rsid w:val="00585FFD"/>
    <w:rsid w:val="00593539"/>
    <w:rsid w:val="005A13CD"/>
    <w:rsid w:val="005A4779"/>
    <w:rsid w:val="005A649C"/>
    <w:rsid w:val="005B55E0"/>
    <w:rsid w:val="005C639F"/>
    <w:rsid w:val="005D058D"/>
    <w:rsid w:val="005D2CA2"/>
    <w:rsid w:val="005D33A7"/>
    <w:rsid w:val="005D6967"/>
    <w:rsid w:val="005E09F8"/>
    <w:rsid w:val="005E6C5D"/>
    <w:rsid w:val="005E7F11"/>
    <w:rsid w:val="005F14A3"/>
    <w:rsid w:val="005F64A3"/>
    <w:rsid w:val="005F7CFB"/>
    <w:rsid w:val="00605899"/>
    <w:rsid w:val="00612B80"/>
    <w:rsid w:val="0062109A"/>
    <w:rsid w:val="00632D84"/>
    <w:rsid w:val="00634BD4"/>
    <w:rsid w:val="0064230F"/>
    <w:rsid w:val="00642BD1"/>
    <w:rsid w:val="00645BF9"/>
    <w:rsid w:val="006504B6"/>
    <w:rsid w:val="006570C3"/>
    <w:rsid w:val="00666D2F"/>
    <w:rsid w:val="0068111B"/>
    <w:rsid w:val="00681BB9"/>
    <w:rsid w:val="00690A06"/>
    <w:rsid w:val="006B14F7"/>
    <w:rsid w:val="006B2C31"/>
    <w:rsid w:val="006B37BA"/>
    <w:rsid w:val="006C2B36"/>
    <w:rsid w:val="006C4EBB"/>
    <w:rsid w:val="006D221E"/>
    <w:rsid w:val="006D2620"/>
    <w:rsid w:val="006D4FEE"/>
    <w:rsid w:val="006D5218"/>
    <w:rsid w:val="006E7E32"/>
    <w:rsid w:val="006F01DB"/>
    <w:rsid w:val="006F1822"/>
    <w:rsid w:val="00702A6A"/>
    <w:rsid w:val="00703957"/>
    <w:rsid w:val="00705188"/>
    <w:rsid w:val="00713B5F"/>
    <w:rsid w:val="0072402A"/>
    <w:rsid w:val="007336B5"/>
    <w:rsid w:val="00735A88"/>
    <w:rsid w:val="007374CF"/>
    <w:rsid w:val="00745655"/>
    <w:rsid w:val="00763E8F"/>
    <w:rsid w:val="007648A1"/>
    <w:rsid w:val="00764E2D"/>
    <w:rsid w:val="007651E4"/>
    <w:rsid w:val="00772118"/>
    <w:rsid w:val="00772EE7"/>
    <w:rsid w:val="00775D3F"/>
    <w:rsid w:val="00793791"/>
    <w:rsid w:val="007A1247"/>
    <w:rsid w:val="007A191D"/>
    <w:rsid w:val="007A2A6B"/>
    <w:rsid w:val="007A4615"/>
    <w:rsid w:val="007B3E30"/>
    <w:rsid w:val="007B5E13"/>
    <w:rsid w:val="007C2423"/>
    <w:rsid w:val="007D0FE3"/>
    <w:rsid w:val="00800516"/>
    <w:rsid w:val="0080103A"/>
    <w:rsid w:val="00810EE1"/>
    <w:rsid w:val="00812B01"/>
    <w:rsid w:val="00814289"/>
    <w:rsid w:val="00816B72"/>
    <w:rsid w:val="00816E35"/>
    <w:rsid w:val="00820D02"/>
    <w:rsid w:val="008248F7"/>
    <w:rsid w:val="00830BCE"/>
    <w:rsid w:val="008311CF"/>
    <w:rsid w:val="0083461B"/>
    <w:rsid w:val="0084085F"/>
    <w:rsid w:val="00841A4E"/>
    <w:rsid w:val="008444E7"/>
    <w:rsid w:val="00847133"/>
    <w:rsid w:val="00847CDC"/>
    <w:rsid w:val="008502A0"/>
    <w:rsid w:val="00852FFC"/>
    <w:rsid w:val="0086223B"/>
    <w:rsid w:val="00863218"/>
    <w:rsid w:val="00872C9D"/>
    <w:rsid w:val="008731EC"/>
    <w:rsid w:val="00874980"/>
    <w:rsid w:val="00883FFC"/>
    <w:rsid w:val="00885991"/>
    <w:rsid w:val="0088702C"/>
    <w:rsid w:val="00887B51"/>
    <w:rsid w:val="00891087"/>
    <w:rsid w:val="0089633E"/>
    <w:rsid w:val="00896348"/>
    <w:rsid w:val="008970D8"/>
    <w:rsid w:val="008A0AEB"/>
    <w:rsid w:val="008A0F38"/>
    <w:rsid w:val="008A45ED"/>
    <w:rsid w:val="008C0FC8"/>
    <w:rsid w:val="008C2C54"/>
    <w:rsid w:val="008C4945"/>
    <w:rsid w:val="008C6E24"/>
    <w:rsid w:val="008D5AC5"/>
    <w:rsid w:val="008E7A4E"/>
    <w:rsid w:val="00904460"/>
    <w:rsid w:val="00906207"/>
    <w:rsid w:val="0091256F"/>
    <w:rsid w:val="00913A3E"/>
    <w:rsid w:val="00917059"/>
    <w:rsid w:val="00924591"/>
    <w:rsid w:val="009276E3"/>
    <w:rsid w:val="0092772F"/>
    <w:rsid w:val="00932E7B"/>
    <w:rsid w:val="00957DA6"/>
    <w:rsid w:val="00961649"/>
    <w:rsid w:val="00973AE2"/>
    <w:rsid w:val="00977819"/>
    <w:rsid w:val="0098065B"/>
    <w:rsid w:val="00995D2A"/>
    <w:rsid w:val="009B28C3"/>
    <w:rsid w:val="009C5536"/>
    <w:rsid w:val="009C6969"/>
    <w:rsid w:val="009D285C"/>
    <w:rsid w:val="009D4179"/>
    <w:rsid w:val="009D52B7"/>
    <w:rsid w:val="009E036C"/>
    <w:rsid w:val="009F0705"/>
    <w:rsid w:val="009F4150"/>
    <w:rsid w:val="009F568F"/>
    <w:rsid w:val="00A0378F"/>
    <w:rsid w:val="00A12FD3"/>
    <w:rsid w:val="00A1513E"/>
    <w:rsid w:val="00A154C3"/>
    <w:rsid w:val="00A171B6"/>
    <w:rsid w:val="00A253B5"/>
    <w:rsid w:val="00A307AE"/>
    <w:rsid w:val="00A321FC"/>
    <w:rsid w:val="00A3561C"/>
    <w:rsid w:val="00A360C1"/>
    <w:rsid w:val="00A4272A"/>
    <w:rsid w:val="00A55D9D"/>
    <w:rsid w:val="00A611EE"/>
    <w:rsid w:val="00A64286"/>
    <w:rsid w:val="00A645DC"/>
    <w:rsid w:val="00A90BC0"/>
    <w:rsid w:val="00A95FE0"/>
    <w:rsid w:val="00AA4755"/>
    <w:rsid w:val="00AB4E58"/>
    <w:rsid w:val="00AB72B6"/>
    <w:rsid w:val="00AC1720"/>
    <w:rsid w:val="00AD1897"/>
    <w:rsid w:val="00AE10D4"/>
    <w:rsid w:val="00B002CD"/>
    <w:rsid w:val="00B05586"/>
    <w:rsid w:val="00B154FB"/>
    <w:rsid w:val="00B23475"/>
    <w:rsid w:val="00B26A24"/>
    <w:rsid w:val="00B26CE6"/>
    <w:rsid w:val="00B3162C"/>
    <w:rsid w:val="00B37A44"/>
    <w:rsid w:val="00B52E73"/>
    <w:rsid w:val="00B5667C"/>
    <w:rsid w:val="00B60C2B"/>
    <w:rsid w:val="00B63F56"/>
    <w:rsid w:val="00B64568"/>
    <w:rsid w:val="00B6710D"/>
    <w:rsid w:val="00B7019D"/>
    <w:rsid w:val="00B7565B"/>
    <w:rsid w:val="00B820DC"/>
    <w:rsid w:val="00B86B39"/>
    <w:rsid w:val="00B963F3"/>
    <w:rsid w:val="00BA2246"/>
    <w:rsid w:val="00BB0799"/>
    <w:rsid w:val="00BB5511"/>
    <w:rsid w:val="00BC0C07"/>
    <w:rsid w:val="00BE2D99"/>
    <w:rsid w:val="00C0054C"/>
    <w:rsid w:val="00C016F8"/>
    <w:rsid w:val="00C04766"/>
    <w:rsid w:val="00C060DF"/>
    <w:rsid w:val="00C0725F"/>
    <w:rsid w:val="00C106A5"/>
    <w:rsid w:val="00C121A4"/>
    <w:rsid w:val="00C245D9"/>
    <w:rsid w:val="00C26258"/>
    <w:rsid w:val="00C2728F"/>
    <w:rsid w:val="00C416B3"/>
    <w:rsid w:val="00C5042D"/>
    <w:rsid w:val="00C53EA0"/>
    <w:rsid w:val="00C56EAC"/>
    <w:rsid w:val="00C67BD5"/>
    <w:rsid w:val="00C71E8A"/>
    <w:rsid w:val="00C73CE8"/>
    <w:rsid w:val="00C831E4"/>
    <w:rsid w:val="00C835AC"/>
    <w:rsid w:val="00C8574F"/>
    <w:rsid w:val="00C905B8"/>
    <w:rsid w:val="00C90DA4"/>
    <w:rsid w:val="00CA5465"/>
    <w:rsid w:val="00CB28A6"/>
    <w:rsid w:val="00CB4135"/>
    <w:rsid w:val="00CB586A"/>
    <w:rsid w:val="00CB6E75"/>
    <w:rsid w:val="00CC33AD"/>
    <w:rsid w:val="00CC3F50"/>
    <w:rsid w:val="00CC73A1"/>
    <w:rsid w:val="00CC7642"/>
    <w:rsid w:val="00CE1A17"/>
    <w:rsid w:val="00CE2C16"/>
    <w:rsid w:val="00CE3DCE"/>
    <w:rsid w:val="00CE560F"/>
    <w:rsid w:val="00CF6CF7"/>
    <w:rsid w:val="00CF7663"/>
    <w:rsid w:val="00D013F5"/>
    <w:rsid w:val="00D04C43"/>
    <w:rsid w:val="00D13F6E"/>
    <w:rsid w:val="00D1496E"/>
    <w:rsid w:val="00D16436"/>
    <w:rsid w:val="00D169F8"/>
    <w:rsid w:val="00D174C6"/>
    <w:rsid w:val="00D21044"/>
    <w:rsid w:val="00D34AD2"/>
    <w:rsid w:val="00D42F75"/>
    <w:rsid w:val="00D47A47"/>
    <w:rsid w:val="00D523E0"/>
    <w:rsid w:val="00D55B37"/>
    <w:rsid w:val="00D569A0"/>
    <w:rsid w:val="00D60CB7"/>
    <w:rsid w:val="00D6313A"/>
    <w:rsid w:val="00D6340C"/>
    <w:rsid w:val="00D653E3"/>
    <w:rsid w:val="00D72361"/>
    <w:rsid w:val="00D72D1B"/>
    <w:rsid w:val="00D77CA6"/>
    <w:rsid w:val="00D82F36"/>
    <w:rsid w:val="00D832E0"/>
    <w:rsid w:val="00D902D3"/>
    <w:rsid w:val="00DA1FA6"/>
    <w:rsid w:val="00DA420D"/>
    <w:rsid w:val="00DB74E5"/>
    <w:rsid w:val="00DC3BD5"/>
    <w:rsid w:val="00DC4BA8"/>
    <w:rsid w:val="00DC50E3"/>
    <w:rsid w:val="00DD1A9B"/>
    <w:rsid w:val="00DE27FF"/>
    <w:rsid w:val="00DE6B5C"/>
    <w:rsid w:val="00DF449A"/>
    <w:rsid w:val="00E053A2"/>
    <w:rsid w:val="00E15D08"/>
    <w:rsid w:val="00E16B1B"/>
    <w:rsid w:val="00E201B1"/>
    <w:rsid w:val="00E415BE"/>
    <w:rsid w:val="00E429CB"/>
    <w:rsid w:val="00E47360"/>
    <w:rsid w:val="00E503DC"/>
    <w:rsid w:val="00E53F3E"/>
    <w:rsid w:val="00E54940"/>
    <w:rsid w:val="00E56389"/>
    <w:rsid w:val="00E62B18"/>
    <w:rsid w:val="00E66ABF"/>
    <w:rsid w:val="00E741B7"/>
    <w:rsid w:val="00E83486"/>
    <w:rsid w:val="00E8580A"/>
    <w:rsid w:val="00E9755E"/>
    <w:rsid w:val="00EA1E67"/>
    <w:rsid w:val="00EA4675"/>
    <w:rsid w:val="00EB6165"/>
    <w:rsid w:val="00EB63E6"/>
    <w:rsid w:val="00EC4F29"/>
    <w:rsid w:val="00EC7641"/>
    <w:rsid w:val="00ED4F65"/>
    <w:rsid w:val="00ED6A61"/>
    <w:rsid w:val="00EF0259"/>
    <w:rsid w:val="00EF40A0"/>
    <w:rsid w:val="00EF57AB"/>
    <w:rsid w:val="00EF67C1"/>
    <w:rsid w:val="00F05C9D"/>
    <w:rsid w:val="00F21F15"/>
    <w:rsid w:val="00F23F68"/>
    <w:rsid w:val="00F244BD"/>
    <w:rsid w:val="00F32AB8"/>
    <w:rsid w:val="00F352D1"/>
    <w:rsid w:val="00F4343B"/>
    <w:rsid w:val="00F46BDA"/>
    <w:rsid w:val="00F520F2"/>
    <w:rsid w:val="00F570E3"/>
    <w:rsid w:val="00F7101A"/>
    <w:rsid w:val="00F720C5"/>
    <w:rsid w:val="00F73A82"/>
    <w:rsid w:val="00F75FB0"/>
    <w:rsid w:val="00F86E30"/>
    <w:rsid w:val="00F90647"/>
    <w:rsid w:val="00F97A1B"/>
    <w:rsid w:val="00F97BA4"/>
    <w:rsid w:val="00FA1451"/>
    <w:rsid w:val="00FA2F42"/>
    <w:rsid w:val="00FA603A"/>
    <w:rsid w:val="00FB3417"/>
    <w:rsid w:val="00FB7C20"/>
    <w:rsid w:val="00FC6C89"/>
    <w:rsid w:val="00FD07F7"/>
    <w:rsid w:val="00FD27E6"/>
    <w:rsid w:val="00FD3D1C"/>
    <w:rsid w:val="00FE0D12"/>
    <w:rsid w:val="00FE4784"/>
    <w:rsid w:val="00FE7A62"/>
    <w:rsid w:val="00FF0B75"/>
    <w:rsid w:val="00FF1484"/>
    <w:rsid w:val="00FF44AE"/>
    <w:rsid w:val="00FF46F9"/>
    <w:rsid w:val="00FF61BC"/>
    <w:rsid w:val="01B511CF"/>
    <w:rsid w:val="02B71F28"/>
    <w:rsid w:val="032A2EC2"/>
    <w:rsid w:val="03F616D6"/>
    <w:rsid w:val="05076003"/>
    <w:rsid w:val="06E11AE9"/>
    <w:rsid w:val="0B1004FB"/>
    <w:rsid w:val="0E3A02BC"/>
    <w:rsid w:val="0FAC349D"/>
    <w:rsid w:val="101D7F82"/>
    <w:rsid w:val="10284C2D"/>
    <w:rsid w:val="102D5468"/>
    <w:rsid w:val="11B83355"/>
    <w:rsid w:val="13581385"/>
    <w:rsid w:val="13635598"/>
    <w:rsid w:val="13C94031"/>
    <w:rsid w:val="14465852"/>
    <w:rsid w:val="15C52657"/>
    <w:rsid w:val="166242C9"/>
    <w:rsid w:val="16FA2753"/>
    <w:rsid w:val="18064E13"/>
    <w:rsid w:val="1BA04359"/>
    <w:rsid w:val="1D630053"/>
    <w:rsid w:val="1D745EE6"/>
    <w:rsid w:val="1FA37098"/>
    <w:rsid w:val="1FD7246A"/>
    <w:rsid w:val="21BB7CA8"/>
    <w:rsid w:val="26A06E73"/>
    <w:rsid w:val="27143CDB"/>
    <w:rsid w:val="276746C9"/>
    <w:rsid w:val="298F31CF"/>
    <w:rsid w:val="2A66792D"/>
    <w:rsid w:val="2CE94AAC"/>
    <w:rsid w:val="2CFF3478"/>
    <w:rsid w:val="2F3C1703"/>
    <w:rsid w:val="30EE1AA4"/>
    <w:rsid w:val="32E4458C"/>
    <w:rsid w:val="33095DA0"/>
    <w:rsid w:val="33D67D8A"/>
    <w:rsid w:val="35335357"/>
    <w:rsid w:val="35BF3544"/>
    <w:rsid w:val="37B309C9"/>
    <w:rsid w:val="3B60677A"/>
    <w:rsid w:val="3C1A067E"/>
    <w:rsid w:val="3ECA1BDD"/>
    <w:rsid w:val="3FD85478"/>
    <w:rsid w:val="405B45DE"/>
    <w:rsid w:val="428224F0"/>
    <w:rsid w:val="43A044FF"/>
    <w:rsid w:val="43FD192F"/>
    <w:rsid w:val="46362EF9"/>
    <w:rsid w:val="49F93713"/>
    <w:rsid w:val="4DB44C0E"/>
    <w:rsid w:val="4F9E08CB"/>
    <w:rsid w:val="52170FF6"/>
    <w:rsid w:val="523A50BC"/>
    <w:rsid w:val="57127C4A"/>
    <w:rsid w:val="581530C6"/>
    <w:rsid w:val="588F1FFB"/>
    <w:rsid w:val="58C947AA"/>
    <w:rsid w:val="58D1300F"/>
    <w:rsid w:val="59020D60"/>
    <w:rsid w:val="5934586C"/>
    <w:rsid w:val="59A73D4E"/>
    <w:rsid w:val="5A08422A"/>
    <w:rsid w:val="5A277DFB"/>
    <w:rsid w:val="5B721072"/>
    <w:rsid w:val="5FE91989"/>
    <w:rsid w:val="609327A9"/>
    <w:rsid w:val="6170182A"/>
    <w:rsid w:val="62740A30"/>
    <w:rsid w:val="627B50DB"/>
    <w:rsid w:val="62BD37D0"/>
    <w:rsid w:val="62BF5904"/>
    <w:rsid w:val="63822E81"/>
    <w:rsid w:val="664A237C"/>
    <w:rsid w:val="687E3158"/>
    <w:rsid w:val="6A200FA0"/>
    <w:rsid w:val="6B4526B6"/>
    <w:rsid w:val="6DD9712E"/>
    <w:rsid w:val="6E7F2DDF"/>
    <w:rsid w:val="6F2179F2"/>
    <w:rsid w:val="6F510202"/>
    <w:rsid w:val="6F85105E"/>
    <w:rsid w:val="746C0E4C"/>
    <w:rsid w:val="74A3508C"/>
    <w:rsid w:val="762322A2"/>
    <w:rsid w:val="76375D4D"/>
    <w:rsid w:val="78474A20"/>
    <w:rsid w:val="7A460C55"/>
    <w:rsid w:val="7A565290"/>
    <w:rsid w:val="7A65732D"/>
    <w:rsid w:val="7B90055D"/>
    <w:rsid w:val="7D5A43EB"/>
    <w:rsid w:val="7F08297D"/>
    <w:rsid w:val="7F2A164C"/>
    <w:rsid w:val="7FFF2F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1"/>
    <w:qFormat/>
    <w:uiPriority w:val="0"/>
    <w:pPr>
      <w:keepNext/>
      <w:keepLines/>
      <w:numPr>
        <w:ilvl w:val="0"/>
        <w:numId w:val="1"/>
      </w:numPr>
      <w:spacing w:beforeLines="50" w:afterLines="50" w:line="360" w:lineRule="auto"/>
      <w:outlineLvl w:val="0"/>
    </w:pPr>
    <w:rPr>
      <w:rFonts w:ascii="Times New Roman" w:hAnsi="Times New Roman" w:eastAsia="楷体_GB2312" w:cs="Times New Roman"/>
      <w:b/>
      <w:kern w:val="44"/>
      <w:sz w:val="44"/>
      <w:szCs w:val="21"/>
    </w:rPr>
  </w:style>
  <w:style w:type="paragraph" w:styleId="3">
    <w:name w:val="heading 2"/>
    <w:basedOn w:val="1"/>
    <w:next w:val="1"/>
    <w:link w:val="42"/>
    <w:qFormat/>
    <w:uiPriority w:val="0"/>
    <w:pPr>
      <w:keepNext/>
      <w:keepLines/>
      <w:numPr>
        <w:ilvl w:val="1"/>
        <w:numId w:val="1"/>
      </w:numPr>
      <w:spacing w:beforeLines="50" w:afterLines="50" w:line="360" w:lineRule="auto"/>
      <w:jc w:val="left"/>
      <w:outlineLvl w:val="1"/>
    </w:pPr>
    <w:rPr>
      <w:rFonts w:ascii="Times New Roman" w:hAnsi="Times New Roman" w:eastAsia="楷体_GB2312" w:cs="Times New Roman"/>
      <w:b/>
      <w:bCs/>
      <w:smallCaps/>
      <w:sz w:val="36"/>
      <w:szCs w:val="28"/>
    </w:rPr>
  </w:style>
  <w:style w:type="paragraph" w:styleId="4">
    <w:name w:val="heading 3"/>
    <w:basedOn w:val="1"/>
    <w:next w:val="1"/>
    <w:link w:val="43"/>
    <w:qFormat/>
    <w:uiPriority w:val="0"/>
    <w:pPr>
      <w:keepNext/>
      <w:keepLines/>
      <w:numPr>
        <w:ilvl w:val="2"/>
        <w:numId w:val="1"/>
      </w:numPr>
      <w:spacing w:beforeLines="50" w:afterLines="50" w:line="360" w:lineRule="auto"/>
      <w:outlineLvl w:val="2"/>
    </w:pPr>
    <w:rPr>
      <w:rFonts w:ascii="Times New Roman" w:hAnsi="Times New Roman" w:eastAsia="华文楷体" w:cs="Times New Roman"/>
      <w:b/>
      <w:bCs/>
      <w:sz w:val="32"/>
      <w:szCs w:val="21"/>
    </w:rPr>
  </w:style>
  <w:style w:type="paragraph" w:styleId="5">
    <w:name w:val="heading 4"/>
    <w:basedOn w:val="1"/>
    <w:next w:val="1"/>
    <w:link w:val="44"/>
    <w:qFormat/>
    <w:uiPriority w:val="0"/>
    <w:pPr>
      <w:numPr>
        <w:ilvl w:val="3"/>
        <w:numId w:val="1"/>
      </w:numPr>
      <w:adjustRightInd w:val="0"/>
      <w:spacing w:beforeLines="50" w:afterLines="50" w:line="360" w:lineRule="auto"/>
      <w:ind w:left="0" w:firstLine="0"/>
      <w:jc w:val="left"/>
      <w:textAlignment w:val="baseline"/>
      <w:outlineLvl w:val="3"/>
    </w:pPr>
    <w:rPr>
      <w:rFonts w:ascii="Times New Roman" w:hAnsi="Times New Roman" w:eastAsia="宋体" w:cs="Times New Roman"/>
      <w:b/>
      <w:bCs/>
      <w:smallCaps/>
      <w:sz w:val="28"/>
      <w:szCs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sz w:val="20"/>
      <w:szCs w:val="20"/>
    </w:rPr>
  </w:style>
  <w:style w:type="paragraph" w:styleId="7">
    <w:name w:val="Document Map"/>
    <w:basedOn w:val="1"/>
    <w:link w:val="54"/>
    <w:semiHidden/>
    <w:unhideWhenUsed/>
    <w:qFormat/>
    <w:uiPriority w:val="99"/>
    <w:rPr>
      <w:rFonts w:ascii="宋体" w:eastAsia="宋体"/>
      <w:sz w:val="18"/>
      <w:szCs w:val="18"/>
    </w:rPr>
  </w:style>
  <w:style w:type="paragraph" w:styleId="8">
    <w:name w:val="annotation text"/>
    <w:basedOn w:val="1"/>
    <w:link w:val="47"/>
    <w:unhideWhenUsed/>
    <w:qFormat/>
    <w:uiPriority w:val="99"/>
    <w:pPr>
      <w:jc w:val="left"/>
    </w:pPr>
  </w:style>
  <w:style w:type="paragraph" w:styleId="9">
    <w:name w:val="toc 3"/>
    <w:basedOn w:val="1"/>
    <w:next w:val="1"/>
    <w:unhideWhenUsed/>
    <w:qFormat/>
    <w:uiPriority w:val="39"/>
    <w:pPr>
      <w:ind w:left="840" w:leftChars="400"/>
    </w:pPr>
  </w:style>
  <w:style w:type="paragraph" w:styleId="10">
    <w:name w:val="Balloon Text"/>
    <w:basedOn w:val="1"/>
    <w:link w:val="55"/>
    <w:semiHidden/>
    <w:unhideWhenUsed/>
    <w:qFormat/>
    <w:uiPriority w:val="99"/>
    <w:rPr>
      <w:sz w:val="18"/>
      <w:szCs w:val="18"/>
    </w:rPr>
  </w:style>
  <w:style w:type="paragraph" w:styleId="11">
    <w:name w:val="footer"/>
    <w:basedOn w:val="1"/>
    <w:link w:val="37"/>
    <w:unhideWhenUsed/>
    <w:qFormat/>
    <w:uiPriority w:val="99"/>
    <w:pPr>
      <w:tabs>
        <w:tab w:val="center" w:pos="4153"/>
        <w:tab w:val="right" w:pos="8306"/>
      </w:tabs>
      <w:snapToGrid w:val="0"/>
      <w:jc w:val="left"/>
    </w:pPr>
    <w:rPr>
      <w:sz w:val="18"/>
      <w:szCs w:val="18"/>
    </w:rPr>
  </w:style>
  <w:style w:type="paragraph" w:styleId="12">
    <w:name w:val="header"/>
    <w:basedOn w:val="1"/>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toc 2"/>
    <w:basedOn w:val="1"/>
    <w:next w:val="1"/>
    <w:unhideWhenUsed/>
    <w:qFormat/>
    <w:uiPriority w:val="39"/>
    <w:pPr>
      <w:ind w:left="420" w:leftChars="200"/>
    </w:pPr>
  </w:style>
  <w:style w:type="paragraph" w:styleId="15">
    <w:name w:val="annotation subject"/>
    <w:basedOn w:val="8"/>
    <w:next w:val="8"/>
    <w:link w:val="48"/>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bCs/>
    </w:rPr>
  </w:style>
  <w:style w:type="character" w:styleId="20">
    <w:name w:val="Emphasis"/>
    <w:basedOn w:val="18"/>
    <w:qFormat/>
    <w:uiPriority w:val="20"/>
    <w:rPr>
      <w:i/>
    </w:rPr>
  </w:style>
  <w:style w:type="character" w:styleId="21">
    <w:name w:val="Hyperlink"/>
    <w:basedOn w:val="18"/>
    <w:unhideWhenUsed/>
    <w:qFormat/>
    <w:uiPriority w:val="99"/>
    <w:rPr>
      <w:color w:val="0563C1" w:themeColor="hyperlink"/>
      <w:u w:val="single"/>
    </w:rPr>
  </w:style>
  <w:style w:type="character" w:styleId="22">
    <w:name w:val="annotation reference"/>
    <w:basedOn w:val="18"/>
    <w:semiHidden/>
    <w:unhideWhenUsed/>
    <w:qFormat/>
    <w:uiPriority w:val="99"/>
    <w:rPr>
      <w:sz w:val="21"/>
      <w:szCs w:val="21"/>
    </w:rPr>
  </w:style>
  <w:style w:type="paragraph" w:customStyle="1" w:styleId="23">
    <w:name w:val="A-z正文"/>
    <w:basedOn w:val="1"/>
    <w:link w:val="24"/>
    <w:qFormat/>
    <w:uiPriority w:val="0"/>
    <w:pPr>
      <w:spacing w:line="360" w:lineRule="auto"/>
      <w:ind w:firstLine="200" w:firstLineChars="200"/>
    </w:pPr>
    <w:rPr>
      <w:rFonts w:ascii="Times New Roman" w:hAnsi="Times New Roman" w:eastAsia="宋体" w:cs="宋体"/>
      <w:sz w:val="24"/>
      <w:szCs w:val="20"/>
    </w:rPr>
  </w:style>
  <w:style w:type="character" w:customStyle="1" w:styleId="24">
    <w:name w:val="A-z正文 Char"/>
    <w:basedOn w:val="18"/>
    <w:link w:val="23"/>
    <w:qFormat/>
    <w:uiPriority w:val="0"/>
    <w:rPr>
      <w:rFonts w:ascii="Times New Roman" w:hAnsi="Times New Roman" w:eastAsia="宋体" w:cs="宋体"/>
      <w:sz w:val="24"/>
      <w:szCs w:val="20"/>
    </w:rPr>
  </w:style>
  <w:style w:type="table" w:customStyle="1" w:styleId="25">
    <w:name w:val="A-表格属性"/>
    <w:basedOn w:val="16"/>
    <w:qFormat/>
    <w:uiPriority w:val="99"/>
    <w:pPr>
      <w:jc w:val="center"/>
    </w:pPr>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
    <w:trPr>
      <w:tblHeader/>
    </w:trPr>
    <w:tcPr>
      <w:vAlign w:val="center"/>
    </w:tcPr>
  </w:style>
  <w:style w:type="paragraph" w:customStyle="1" w:styleId="26">
    <w:name w:val="A-表格文字"/>
    <w:basedOn w:val="1"/>
    <w:next w:val="23"/>
    <w:link w:val="27"/>
    <w:qFormat/>
    <w:uiPriority w:val="0"/>
    <w:pPr>
      <w:autoSpaceDE w:val="0"/>
      <w:autoSpaceDN w:val="0"/>
      <w:adjustRightInd w:val="0"/>
      <w:jc w:val="center"/>
      <w:textAlignment w:val="center"/>
    </w:pPr>
    <w:rPr>
      <w:rFonts w:ascii="Times New Roman" w:hAnsi="Times New Roman" w:eastAsia="宋体" w:cs="Times New Roman"/>
      <w:kern w:val="0"/>
      <w:szCs w:val="21"/>
    </w:rPr>
  </w:style>
  <w:style w:type="character" w:customStyle="1" w:styleId="27">
    <w:name w:val="A-表格文字 Char"/>
    <w:basedOn w:val="18"/>
    <w:link w:val="26"/>
    <w:qFormat/>
    <w:uiPriority w:val="0"/>
    <w:rPr>
      <w:rFonts w:ascii="Times New Roman" w:hAnsi="Times New Roman" w:eastAsia="宋体" w:cs="Times New Roman"/>
      <w:kern w:val="0"/>
      <w:szCs w:val="21"/>
    </w:rPr>
  </w:style>
  <w:style w:type="paragraph" w:customStyle="1" w:styleId="28">
    <w:name w:val="A-题注-表"/>
    <w:basedOn w:val="6"/>
    <w:link w:val="29"/>
    <w:qFormat/>
    <w:uiPriority w:val="0"/>
    <w:pPr>
      <w:spacing w:beforeLines="50" w:line="360" w:lineRule="auto"/>
      <w:jc w:val="center"/>
    </w:pPr>
    <w:rPr>
      <w:rFonts w:ascii="Times New Roman" w:hAnsi="Times New Roman" w:eastAsia="宋体" w:cs="Arial"/>
      <w:b/>
      <w:sz w:val="21"/>
    </w:rPr>
  </w:style>
  <w:style w:type="character" w:customStyle="1" w:styleId="29">
    <w:name w:val="A-题注-表 Char"/>
    <w:basedOn w:val="18"/>
    <w:link w:val="28"/>
    <w:qFormat/>
    <w:uiPriority w:val="0"/>
    <w:rPr>
      <w:rFonts w:ascii="Times New Roman" w:hAnsi="Times New Roman" w:eastAsia="宋体" w:cs="Arial"/>
      <w:b/>
      <w:szCs w:val="20"/>
    </w:rPr>
  </w:style>
  <w:style w:type="paragraph" w:customStyle="1" w:styleId="30">
    <w:name w:val="A-题注-图"/>
    <w:basedOn w:val="28"/>
    <w:link w:val="31"/>
    <w:qFormat/>
    <w:uiPriority w:val="0"/>
    <w:pPr>
      <w:spacing w:beforeLines="0" w:afterLines="50"/>
    </w:pPr>
  </w:style>
  <w:style w:type="character" w:customStyle="1" w:styleId="31">
    <w:name w:val="A-题注-图 Char"/>
    <w:basedOn w:val="29"/>
    <w:link w:val="30"/>
    <w:qFormat/>
    <w:uiPriority w:val="0"/>
    <w:rPr>
      <w:rFonts w:ascii="Times New Roman" w:hAnsi="Times New Roman" w:eastAsia="宋体" w:cs="Arial"/>
      <w:szCs w:val="20"/>
    </w:rPr>
  </w:style>
  <w:style w:type="paragraph" w:customStyle="1" w:styleId="32">
    <w:name w:val="A-尾注"/>
    <w:basedOn w:val="23"/>
    <w:link w:val="33"/>
    <w:qFormat/>
    <w:uiPriority w:val="0"/>
    <w:pPr>
      <w:spacing w:line="240" w:lineRule="auto"/>
      <w:ind w:firstLine="0" w:firstLineChars="0"/>
      <w:jc w:val="left"/>
    </w:pPr>
    <w:rPr>
      <w:rFonts w:cs="Times New Roman"/>
      <w:sz w:val="18"/>
    </w:rPr>
  </w:style>
  <w:style w:type="character" w:customStyle="1" w:styleId="33">
    <w:name w:val="A-尾注 Char"/>
    <w:basedOn w:val="24"/>
    <w:link w:val="32"/>
    <w:qFormat/>
    <w:uiPriority w:val="0"/>
    <w:rPr>
      <w:rFonts w:ascii="Times New Roman" w:hAnsi="Times New Roman" w:eastAsia="宋体" w:cs="Times New Roman"/>
      <w:sz w:val="18"/>
      <w:szCs w:val="20"/>
    </w:rPr>
  </w:style>
  <w:style w:type="paragraph" w:customStyle="1" w:styleId="34">
    <w:name w:val="A-问题已解决"/>
    <w:basedOn w:val="1"/>
    <w:qFormat/>
    <w:uiPriority w:val="0"/>
    <w:pPr>
      <w:spacing w:line="360" w:lineRule="auto"/>
      <w:ind w:firstLine="444" w:firstLineChars="200"/>
    </w:pPr>
    <w:rPr>
      <w:rFonts w:ascii="宋体" w:hAnsi="Times New Roman" w:eastAsia="宋体" w:cs="宋体"/>
      <w:strike/>
      <w:szCs w:val="21"/>
    </w:rPr>
  </w:style>
  <w:style w:type="paragraph" w:customStyle="1" w:styleId="35">
    <w:name w:val="A-页脚"/>
    <w:basedOn w:val="11"/>
    <w:link w:val="36"/>
    <w:qFormat/>
    <w:uiPriority w:val="0"/>
    <w:pPr>
      <w:ind w:firstLine="480"/>
    </w:pPr>
    <w:rPr>
      <w:rFonts w:ascii="Times New Roman" w:hAnsi="Times New Roman" w:eastAsia="宋体" w:cs="Times New Roman"/>
    </w:rPr>
  </w:style>
  <w:style w:type="character" w:customStyle="1" w:styleId="36">
    <w:name w:val="A-页脚 Char"/>
    <w:basedOn w:val="18"/>
    <w:link w:val="35"/>
    <w:qFormat/>
    <w:uiPriority w:val="0"/>
    <w:rPr>
      <w:rFonts w:ascii="Times New Roman" w:hAnsi="Times New Roman" w:eastAsia="宋体" w:cs="Times New Roman"/>
      <w:sz w:val="18"/>
      <w:szCs w:val="18"/>
    </w:rPr>
  </w:style>
  <w:style w:type="character" w:customStyle="1" w:styleId="37">
    <w:name w:val="页脚 字符"/>
    <w:basedOn w:val="18"/>
    <w:link w:val="11"/>
    <w:qFormat/>
    <w:uiPriority w:val="99"/>
    <w:rPr>
      <w:sz w:val="18"/>
      <w:szCs w:val="18"/>
    </w:rPr>
  </w:style>
  <w:style w:type="paragraph" w:customStyle="1" w:styleId="38">
    <w:name w:val="A-页眉"/>
    <w:basedOn w:val="12"/>
    <w:link w:val="39"/>
    <w:qFormat/>
    <w:uiPriority w:val="0"/>
    <w:pPr>
      <w:ind w:firstLine="480"/>
    </w:pPr>
    <w:rPr>
      <w:rFonts w:ascii="Times New Roman" w:hAnsi="Times New Roman" w:eastAsia="宋体" w:cs="Times New Roman"/>
      <w:lang w:val="zh-CN"/>
    </w:rPr>
  </w:style>
  <w:style w:type="character" w:customStyle="1" w:styleId="39">
    <w:name w:val="A-页眉 Char"/>
    <w:basedOn w:val="18"/>
    <w:link w:val="38"/>
    <w:qFormat/>
    <w:uiPriority w:val="0"/>
    <w:rPr>
      <w:rFonts w:ascii="Times New Roman" w:hAnsi="Times New Roman" w:eastAsia="宋体" w:cs="Times New Roman"/>
      <w:sz w:val="18"/>
      <w:szCs w:val="18"/>
      <w:lang w:val="zh-CN"/>
    </w:rPr>
  </w:style>
  <w:style w:type="character" w:customStyle="1" w:styleId="40">
    <w:name w:val="页眉 字符"/>
    <w:basedOn w:val="18"/>
    <w:link w:val="12"/>
    <w:qFormat/>
    <w:uiPriority w:val="99"/>
    <w:rPr>
      <w:sz w:val="18"/>
      <w:szCs w:val="18"/>
    </w:rPr>
  </w:style>
  <w:style w:type="character" w:customStyle="1" w:styleId="41">
    <w:name w:val="标题 1 字符"/>
    <w:basedOn w:val="18"/>
    <w:link w:val="2"/>
    <w:qFormat/>
    <w:uiPriority w:val="0"/>
    <w:rPr>
      <w:rFonts w:ascii="Times New Roman" w:hAnsi="Times New Roman" w:eastAsia="楷体_GB2312" w:cs="Times New Roman"/>
      <w:b/>
      <w:kern w:val="44"/>
      <w:sz w:val="44"/>
      <w:szCs w:val="21"/>
    </w:rPr>
  </w:style>
  <w:style w:type="character" w:customStyle="1" w:styleId="42">
    <w:name w:val="标题 2 字符"/>
    <w:basedOn w:val="18"/>
    <w:link w:val="3"/>
    <w:qFormat/>
    <w:uiPriority w:val="0"/>
    <w:rPr>
      <w:rFonts w:ascii="Times New Roman" w:hAnsi="Times New Roman" w:eastAsia="楷体_GB2312" w:cs="Times New Roman"/>
      <w:b/>
      <w:bCs/>
      <w:smallCaps/>
      <w:sz w:val="36"/>
      <w:szCs w:val="28"/>
    </w:rPr>
  </w:style>
  <w:style w:type="character" w:customStyle="1" w:styleId="43">
    <w:name w:val="标题 3 字符"/>
    <w:basedOn w:val="18"/>
    <w:link w:val="4"/>
    <w:qFormat/>
    <w:uiPriority w:val="0"/>
    <w:rPr>
      <w:rFonts w:ascii="Times New Roman" w:hAnsi="Times New Roman" w:eastAsia="华文楷体" w:cs="Times New Roman"/>
      <w:b/>
      <w:bCs/>
      <w:sz w:val="32"/>
      <w:szCs w:val="21"/>
    </w:rPr>
  </w:style>
  <w:style w:type="character" w:customStyle="1" w:styleId="44">
    <w:name w:val="标题 4 字符"/>
    <w:basedOn w:val="18"/>
    <w:link w:val="5"/>
    <w:qFormat/>
    <w:uiPriority w:val="0"/>
    <w:rPr>
      <w:rFonts w:ascii="Times New Roman" w:hAnsi="Times New Roman" w:eastAsia="宋体" w:cs="Times New Roman"/>
      <w:b/>
      <w:bCs/>
      <w:smallCaps/>
      <w:sz w:val="28"/>
      <w:szCs w:val="24"/>
    </w:rPr>
  </w:style>
  <w:style w:type="paragraph" w:styleId="45">
    <w:name w:val="List Paragraph"/>
    <w:basedOn w:val="1"/>
    <w:qFormat/>
    <w:uiPriority w:val="34"/>
    <w:pPr>
      <w:ind w:firstLine="420" w:firstLineChars="200"/>
    </w:pPr>
  </w:style>
  <w:style w:type="paragraph" w:customStyle="1" w:styleId="46">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character" w:customStyle="1" w:styleId="47">
    <w:name w:val="批注文字 字符"/>
    <w:basedOn w:val="18"/>
    <w:link w:val="8"/>
    <w:qFormat/>
    <w:uiPriority w:val="99"/>
  </w:style>
  <w:style w:type="character" w:customStyle="1" w:styleId="48">
    <w:name w:val="批注主题 字符"/>
    <w:basedOn w:val="47"/>
    <w:link w:val="15"/>
    <w:semiHidden/>
    <w:qFormat/>
    <w:uiPriority w:val="99"/>
    <w:rPr>
      <w:b/>
      <w:bCs/>
    </w:rPr>
  </w:style>
  <w:style w:type="paragraph" w:customStyle="1" w:styleId="49">
    <w:name w:val="TOC 标题1"/>
    <w:basedOn w:val="2"/>
    <w:next w:val="1"/>
    <w:unhideWhenUsed/>
    <w:qFormat/>
    <w:uiPriority w:val="39"/>
    <w:pPr>
      <w:widowControl/>
      <w:numPr>
        <w:numId w:val="0"/>
      </w:numPr>
      <w:spacing w:beforeLines="0" w:afterLines="0" w:line="259" w:lineRule="auto"/>
      <w:jc w:val="left"/>
      <w:outlineLvl w:val="9"/>
    </w:pPr>
    <w:rPr>
      <w:rFonts w:asciiTheme="majorHAnsi" w:hAnsiTheme="majorHAnsi" w:eastAsiaTheme="majorEastAsia" w:cstheme="majorBidi"/>
      <w:b w:val="0"/>
      <w:color w:val="2F5496" w:themeColor="accent1" w:themeShade="BF"/>
      <w:kern w:val="0"/>
      <w:sz w:val="32"/>
      <w:szCs w:val="32"/>
    </w:rPr>
  </w:style>
  <w:style w:type="paragraph" w:customStyle="1" w:styleId="5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1">
    <w:name w:val="font31"/>
    <w:basedOn w:val="18"/>
    <w:qFormat/>
    <w:uiPriority w:val="0"/>
    <w:rPr>
      <w:rFonts w:ascii="楷体_GB2312" w:eastAsia="楷体_GB2312" w:cs="楷体_GB2312"/>
      <w:color w:val="000000"/>
      <w:sz w:val="20"/>
      <w:szCs w:val="20"/>
      <w:u w:val="none"/>
    </w:rPr>
  </w:style>
  <w:style w:type="character" w:customStyle="1" w:styleId="52">
    <w:name w:val="font11"/>
    <w:basedOn w:val="18"/>
    <w:qFormat/>
    <w:uiPriority w:val="0"/>
    <w:rPr>
      <w:rFonts w:hint="default" w:ascii="Times New Roman" w:hAnsi="Times New Roman" w:cs="Times New Roman"/>
      <w:color w:val="000000"/>
      <w:sz w:val="20"/>
      <w:szCs w:val="20"/>
      <w:u w:val="none"/>
    </w:rPr>
  </w:style>
  <w:style w:type="character" w:customStyle="1" w:styleId="53">
    <w:name w:val="font41"/>
    <w:basedOn w:val="18"/>
    <w:qFormat/>
    <w:uiPriority w:val="0"/>
    <w:rPr>
      <w:rFonts w:hint="eastAsia" w:ascii="楷体_GB2312" w:eastAsia="楷体_GB2312" w:cs="楷体_GB2312"/>
      <w:color w:val="000000"/>
      <w:sz w:val="22"/>
      <w:szCs w:val="22"/>
      <w:u w:val="none"/>
    </w:rPr>
  </w:style>
  <w:style w:type="character" w:customStyle="1" w:styleId="54">
    <w:name w:val="文档结构图 字符"/>
    <w:basedOn w:val="18"/>
    <w:link w:val="7"/>
    <w:semiHidden/>
    <w:qFormat/>
    <w:uiPriority w:val="99"/>
    <w:rPr>
      <w:rFonts w:ascii="宋体" w:hAnsiTheme="minorHAnsi" w:cstheme="minorBidi"/>
      <w:kern w:val="2"/>
      <w:sz w:val="18"/>
      <w:szCs w:val="18"/>
    </w:rPr>
  </w:style>
  <w:style w:type="character" w:customStyle="1" w:styleId="55">
    <w:name w:val="批注框文本 字符"/>
    <w:basedOn w:val="18"/>
    <w:link w:val="10"/>
    <w:semiHidden/>
    <w:qFormat/>
    <w:uiPriority w:val="99"/>
    <w:rPr>
      <w:rFonts w:asciiTheme="minorHAnsi" w:hAnsiTheme="minorHAnsi" w:eastAsiaTheme="minorEastAsia" w:cstheme="minorBidi"/>
      <w:kern w:val="2"/>
      <w:sz w:val="18"/>
      <w:szCs w:val="18"/>
    </w:rPr>
  </w:style>
  <w:style w:type="paragraph" w:customStyle="1" w:styleId="56">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8.png"/><Relationship Id="rId13" Type="http://schemas.openxmlformats.org/officeDocument/2006/relationships/image" Target="media/image7.jpeg"/><Relationship Id="rId12" Type="http://schemas.openxmlformats.org/officeDocument/2006/relationships/image" Target="media/image6.png"/><Relationship Id="rId11" Type="http://schemas.openxmlformats.org/officeDocument/2006/relationships/image" Target="media/image5.jpe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 Inc.</Company>
  <Pages>21</Pages>
  <Words>11176</Words>
  <Characters>11806</Characters>
  <Lines>94</Lines>
  <Paragraphs>26</Paragraphs>
  <TotalTime>2</TotalTime>
  <ScaleCrop>false</ScaleCrop>
  <LinksUpToDate>false</LinksUpToDate>
  <CharactersWithSpaces>12015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2022-07-02T04:41:00Z</dcterms:created>
  <dc:creator>张 岩</dc:creator>
  <cp:lastModifiedBy>牛牛</cp:lastModifiedBy>
  <cp:lastPrinted>2022-11-18T06:50:00Z</cp:lastPrinted>
  <dcterms:modified xsi:type="dcterms:W3CDTF">2024-12-10T01:28:33Z</dcterms:modified>
  <cp:revision>656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5BA731D7A66D4461A3D56EB93A62F64C</vt:lpwstr>
  </property>
</Properties>
</file>