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9D1D">
      <w:pPr>
        <w:rPr>
          <w:rFonts w:hint="eastAsia" w:ascii="黑体" w:hAnsi="黑体" w:eastAsia="黑体"/>
          <w:sz w:val="32"/>
          <w:szCs w:val="32"/>
        </w:rPr>
      </w:pPr>
      <w:bookmarkStart w:id="0" w:name="_GoBack"/>
      <w:bookmarkEnd w:id="0"/>
    </w:p>
    <w:p w14:paraId="2DD20308">
      <w:pPr>
        <w:rPr>
          <w:rFonts w:hint="eastAsia" w:ascii="黑体" w:hAnsi="黑体" w:eastAsia="黑体"/>
          <w:sz w:val="32"/>
          <w:szCs w:val="32"/>
        </w:rPr>
      </w:pPr>
    </w:p>
    <w:p w14:paraId="6CCB04CC">
      <w:pPr>
        <w:rPr>
          <w:rFonts w:hint="eastAsia" w:ascii="黑体" w:hAnsi="黑体" w:eastAsia="黑体"/>
          <w:sz w:val="32"/>
          <w:szCs w:val="32"/>
        </w:rPr>
      </w:pPr>
    </w:p>
    <w:p w14:paraId="438408F9">
      <w:pPr>
        <w:rPr>
          <w:rFonts w:hint="eastAsia" w:ascii="黑体" w:hAnsi="黑体" w:eastAsia="黑体"/>
          <w:sz w:val="32"/>
          <w:szCs w:val="32"/>
        </w:rPr>
      </w:pPr>
    </w:p>
    <w:p w14:paraId="3B590842">
      <w:pPr>
        <w:jc w:val="center"/>
        <w:rPr>
          <w:rFonts w:hint="eastAsia" w:ascii="黑体" w:hAnsi="黑体" w:eastAsia="黑体"/>
          <w:sz w:val="32"/>
          <w:szCs w:val="32"/>
        </w:rPr>
      </w:pPr>
    </w:p>
    <w:p w14:paraId="619E909C">
      <w:pPr>
        <w:jc w:val="center"/>
        <w:rPr>
          <w:rFonts w:hint="eastAsia"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工业氧化亚氮排放控制水平分级</w:t>
      </w:r>
      <w:r>
        <w:rPr>
          <w:rFonts w:hint="eastAsia" w:ascii="黑体" w:hAnsi="黑体" w:eastAsia="黑体"/>
          <w:sz w:val="32"/>
          <w:szCs w:val="32"/>
        </w:rPr>
        <w:t>》</w:t>
      </w:r>
    </w:p>
    <w:p w14:paraId="1B1E9933">
      <w:pPr>
        <w:jc w:val="center"/>
        <w:rPr>
          <w:rFonts w:hint="eastAsia" w:ascii="黑体" w:hAnsi="黑体" w:eastAsia="黑体"/>
          <w:sz w:val="32"/>
          <w:szCs w:val="32"/>
        </w:rPr>
      </w:pPr>
      <w:r>
        <w:rPr>
          <w:rFonts w:hint="eastAsia" w:ascii="黑体" w:hAnsi="黑体" w:eastAsia="黑体"/>
          <w:sz w:val="32"/>
          <w:szCs w:val="32"/>
        </w:rPr>
        <w:t>（征求意见稿）</w:t>
      </w:r>
    </w:p>
    <w:p w14:paraId="7FE7FBE9">
      <w:pPr>
        <w:jc w:val="center"/>
        <w:rPr>
          <w:rFonts w:hint="eastAsia" w:ascii="黑体" w:hAnsi="黑体" w:eastAsia="黑体"/>
          <w:sz w:val="32"/>
          <w:szCs w:val="32"/>
        </w:rPr>
      </w:pPr>
    </w:p>
    <w:p w14:paraId="01B8174E">
      <w:pPr>
        <w:jc w:val="center"/>
        <w:rPr>
          <w:rFonts w:hint="eastAsia" w:ascii="黑体" w:hAnsi="黑体" w:eastAsia="黑体"/>
          <w:sz w:val="32"/>
          <w:szCs w:val="32"/>
        </w:rPr>
      </w:pPr>
      <w:r>
        <w:rPr>
          <w:rFonts w:hint="eastAsia" w:ascii="黑体" w:hAnsi="黑体" w:eastAsia="黑体"/>
          <w:sz w:val="32"/>
          <w:szCs w:val="32"/>
        </w:rPr>
        <w:t>团体标准</w:t>
      </w:r>
    </w:p>
    <w:p w14:paraId="0E62AFFB">
      <w:pPr>
        <w:jc w:val="center"/>
        <w:rPr>
          <w:rFonts w:hint="eastAsia" w:ascii="黑体" w:hAnsi="黑体" w:eastAsia="黑体"/>
          <w:sz w:val="32"/>
          <w:szCs w:val="32"/>
        </w:rPr>
      </w:pPr>
    </w:p>
    <w:p w14:paraId="7B05DCD7">
      <w:pPr>
        <w:jc w:val="center"/>
        <w:rPr>
          <w:rFonts w:hint="eastAsia" w:ascii="黑体" w:hAnsi="黑体" w:eastAsia="黑体"/>
          <w:sz w:val="32"/>
          <w:szCs w:val="32"/>
        </w:rPr>
      </w:pPr>
      <w:r>
        <w:rPr>
          <w:rFonts w:hint="eastAsia" w:ascii="黑体" w:hAnsi="黑体" w:eastAsia="黑体"/>
          <w:sz w:val="32"/>
          <w:szCs w:val="32"/>
        </w:rPr>
        <w:t>编制说明</w:t>
      </w:r>
    </w:p>
    <w:p w14:paraId="2AF61ED7">
      <w:pPr>
        <w:jc w:val="center"/>
        <w:rPr>
          <w:rFonts w:hint="eastAsia" w:ascii="黑体" w:hAnsi="黑体" w:eastAsia="黑体"/>
          <w:sz w:val="32"/>
          <w:szCs w:val="32"/>
        </w:rPr>
      </w:pPr>
    </w:p>
    <w:p w14:paraId="3F09E5F6">
      <w:pPr>
        <w:jc w:val="center"/>
        <w:rPr>
          <w:rFonts w:hint="eastAsia" w:ascii="黑体" w:hAnsi="黑体" w:eastAsia="黑体"/>
          <w:sz w:val="32"/>
          <w:szCs w:val="32"/>
        </w:rPr>
      </w:pPr>
    </w:p>
    <w:p w14:paraId="79C7EF9F">
      <w:pPr>
        <w:jc w:val="center"/>
        <w:rPr>
          <w:rFonts w:hint="eastAsia" w:ascii="黑体" w:hAnsi="黑体" w:eastAsia="黑体"/>
          <w:sz w:val="32"/>
          <w:szCs w:val="32"/>
        </w:rPr>
      </w:pPr>
    </w:p>
    <w:p w14:paraId="06409E20">
      <w:pPr>
        <w:jc w:val="center"/>
        <w:rPr>
          <w:rFonts w:hint="eastAsia" w:ascii="黑体" w:hAnsi="黑体" w:eastAsia="黑体"/>
          <w:sz w:val="32"/>
          <w:szCs w:val="32"/>
        </w:rPr>
      </w:pPr>
    </w:p>
    <w:p w14:paraId="77FEF2BC">
      <w:pPr>
        <w:jc w:val="center"/>
        <w:rPr>
          <w:rFonts w:hint="eastAsia" w:ascii="黑体" w:hAnsi="黑体" w:eastAsia="黑体"/>
          <w:sz w:val="32"/>
          <w:szCs w:val="32"/>
        </w:rPr>
      </w:pPr>
    </w:p>
    <w:p w14:paraId="0AB31095">
      <w:pPr>
        <w:jc w:val="center"/>
        <w:rPr>
          <w:rFonts w:hint="eastAsia" w:ascii="黑体" w:hAnsi="黑体" w:eastAsia="黑体"/>
          <w:sz w:val="32"/>
          <w:szCs w:val="32"/>
        </w:rPr>
      </w:pPr>
    </w:p>
    <w:p w14:paraId="128FE864">
      <w:pPr>
        <w:jc w:val="center"/>
        <w:rPr>
          <w:rFonts w:hint="eastAsia" w:ascii="黑体" w:hAnsi="黑体" w:eastAsia="黑体"/>
          <w:sz w:val="32"/>
          <w:szCs w:val="32"/>
        </w:rPr>
      </w:pPr>
    </w:p>
    <w:p w14:paraId="35D30A03">
      <w:pPr>
        <w:jc w:val="center"/>
        <w:rPr>
          <w:rFonts w:hint="eastAsia"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工业氧化亚氮排放控制水平分级</w:t>
      </w:r>
      <w:r>
        <w:rPr>
          <w:rFonts w:hint="eastAsia" w:ascii="黑体" w:hAnsi="黑体" w:eastAsia="黑体"/>
          <w:sz w:val="32"/>
          <w:szCs w:val="32"/>
        </w:rPr>
        <w:t>》编制组</w:t>
      </w:r>
    </w:p>
    <w:p w14:paraId="7C33EC14">
      <w:pPr>
        <w:jc w:val="center"/>
        <w:rPr>
          <w:rFonts w:hint="eastAsia" w:ascii="黑体" w:hAnsi="黑体" w:eastAsia="黑体"/>
          <w:sz w:val="32"/>
          <w:szCs w:val="32"/>
        </w:rPr>
      </w:pPr>
      <w:r>
        <w:rPr>
          <w:rFonts w:hint="eastAsia" w:ascii="黑体" w:hAnsi="黑体" w:eastAsia="黑体"/>
          <w:sz w:val="32"/>
          <w:szCs w:val="32"/>
        </w:rPr>
        <w:t>2</w:t>
      </w:r>
      <w:r>
        <w:rPr>
          <w:rFonts w:ascii="黑体" w:hAnsi="黑体" w:eastAsia="黑体"/>
          <w:sz w:val="32"/>
          <w:szCs w:val="32"/>
        </w:rPr>
        <w:t>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val="en-US" w:eastAsia="zh-CN"/>
        </w:rPr>
        <w:t>6</w:t>
      </w:r>
      <w:r>
        <w:rPr>
          <w:rFonts w:hint="eastAsia" w:ascii="黑体" w:hAnsi="黑体" w:eastAsia="黑体"/>
          <w:sz w:val="32"/>
          <w:szCs w:val="32"/>
        </w:rPr>
        <w:t>月</w:t>
      </w:r>
    </w:p>
    <w:p w14:paraId="6EF4B70B">
      <w:pPr>
        <w:jc w:val="center"/>
        <w:rPr>
          <w:rFonts w:hint="eastAsia" w:ascii="黑体" w:hAnsi="黑体" w:eastAsia="黑体"/>
          <w:sz w:val="32"/>
          <w:szCs w:val="32"/>
        </w:rPr>
      </w:pPr>
      <w:r>
        <w:rPr>
          <w:rFonts w:ascii="黑体" w:hAnsi="黑体" w:eastAsia="黑体"/>
          <w:sz w:val="32"/>
          <w:szCs w:val="32"/>
        </w:rPr>
        <w:br w:type="page"/>
      </w:r>
    </w:p>
    <w:p w14:paraId="3D1F23E5">
      <w:pPr>
        <w:pStyle w:val="3"/>
        <w:spacing w:before="156" w:after="156"/>
      </w:pPr>
      <w:r>
        <w:rPr>
          <w:rFonts w:hint="eastAsia"/>
        </w:rPr>
        <w:t>项目背景</w:t>
      </w:r>
    </w:p>
    <w:p w14:paraId="6EB0EE9E">
      <w:pPr>
        <w:pStyle w:val="4"/>
        <w:spacing w:before="156" w:after="156"/>
      </w:pPr>
      <w:r>
        <w:rPr>
          <w:rFonts w:hint="eastAsia"/>
        </w:rPr>
        <w:t>任务来源</w:t>
      </w:r>
    </w:p>
    <w:p w14:paraId="33328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2020年9月22日，习近平总书记在第75届联合国大会一般性辩论上郑重宣示，中国二氧化碳排放力争于2030年前达到峰值、努力争取2060年前实现碳中和，是我国立足可持续发展作出的重大战略部署，也为全国温室气体管控工作指明核心方向。氧化亚氮（N₂O）属于强效温室气体，100年时间尺度下全球增温潜势为二氧化碳的265倍，同时会造成臭氧层破坏，加强氧化亚氮排放管控是落实“双碳”战略的重要一环。2024年12月发布的《中华人民共和国气候变化第四次两年更新报告》</w:t>
      </w:r>
      <w:r>
        <w:rPr>
          <w:rFonts w:hint="eastAsia" w:ascii="Times New Roman" w:hAnsi="Times New Roman" w:eastAsia="宋体"/>
          <w:sz w:val="24"/>
          <w:lang w:val="en-US" w:eastAsia="zh-CN"/>
        </w:rPr>
        <w:t>指出</w:t>
      </w:r>
      <w:r>
        <w:rPr>
          <w:rFonts w:hint="default" w:ascii="Times New Roman" w:hAnsi="Times New Roman" w:eastAsia="宋体"/>
          <w:sz w:val="24"/>
          <w:lang w:val="en-US" w:eastAsia="zh-CN"/>
        </w:rPr>
        <w:t>，工业生产过程是氧化亚氮主要排放来源之一，硝酸、己二酸、己内酰胺等化工行业生产过程副产大量氧化亚氮，排放强度高、整体减排潜力巨大。</w:t>
      </w:r>
    </w:p>
    <w:p w14:paraId="0FF05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国家层面持续出台多项政策文件强化非二氧化碳温室气体管控，《中国应对气候变化国家方案》《关于统筹和加强应对气候变化与生态环境保护相关工作的指导意见》《关于全面推进美丽中国建设的意见》《工业领域氧化亚氮排放控制行动方案》等均对氧化亚氮排放管控提出明确工作要求。当前我国工业氧化亚氮排放管理体系仍存在明显短板，现有相关标准仅规定基础核算方法，尚未建立统一的企业排放水平分级体系，无法实现企业减排状况差异化判定，难以配套宏观调控、自愿减排激励等相关政策落地实施。为全面落实国家应对气候变化相关政策要求，填补工业氧化亚氮分级管控领域标准空白，充分挖掘重点化工行业氧化亚氮减排潜力，</w:t>
      </w:r>
      <w:r>
        <w:rPr>
          <w:rFonts w:hint="eastAsia" w:ascii="Times New Roman" w:hAnsi="Times New Roman" w:eastAsia="宋体"/>
          <w:sz w:val="24"/>
          <w:lang w:val="en-US" w:eastAsia="zh-CN"/>
        </w:rPr>
        <w:t>编制</w:t>
      </w:r>
      <w:r>
        <w:rPr>
          <w:rFonts w:hint="default" w:ascii="Times New Roman" w:hAnsi="Times New Roman" w:eastAsia="宋体"/>
          <w:sz w:val="24"/>
          <w:lang w:val="en-US" w:eastAsia="zh-CN"/>
        </w:rPr>
        <w:t>单位申报《工业氧化亚氮排放控制水平分级》团体标准项目，经协会立项审查通过后，正式启动本标准编制工作。</w:t>
      </w:r>
    </w:p>
    <w:p w14:paraId="3054377F">
      <w:pPr>
        <w:pStyle w:val="4"/>
        <w:spacing w:before="156" w:after="156"/>
      </w:pPr>
      <w:r>
        <w:rPr>
          <w:rFonts w:hint="eastAsia"/>
        </w:rPr>
        <w:t>主要工作过程</w:t>
      </w:r>
    </w:p>
    <w:p w14:paraId="10556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2026年3月，成立标准编制小组，按照《标准化工作导则第1部分：标准化文件的结构和起草规则》（GB/T1.1-2020）要求，制定工作计划并开展标准编制前期研究工作。编制组对国内工业氧化亚氮排放核算方法、碳排放特征和强度、减排措施及相应效果等相关情况开展研究，在文献梳理的基础上，开展生产企业数据调研，结合我国工业氧化亚氮排放与减排发展现状，确定了标准编制的基本原则和技术方法，并于2026年4月2日提交《工业氧化亚氮排放控制水平分级》项目建议书及相关申报材料。</w:t>
      </w:r>
    </w:p>
    <w:p w14:paraId="4B4375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2026年4月10日，在北京组织召开了标准立项研讨会，编制组汇报了标准编制的目的意义、研究思路，会议邀请业内专家对标准进行了研讨质询并给出修改建议。</w:t>
      </w:r>
      <w:r>
        <w:rPr>
          <w:rFonts w:hint="default" w:ascii="Times New Roman" w:hAnsi="Times New Roman" w:eastAsia="宋体"/>
          <w:sz w:val="24"/>
          <w:lang w:val="en-US" w:eastAsia="zh-CN"/>
        </w:rPr>
        <w:t>会</w:t>
      </w:r>
      <w:r>
        <w:rPr>
          <w:rFonts w:hint="eastAsia" w:ascii="Times New Roman" w:hAnsi="Times New Roman" w:eastAsia="宋体"/>
          <w:sz w:val="24"/>
          <w:lang w:val="en-US" w:eastAsia="zh-CN"/>
        </w:rPr>
        <w:t>后</w:t>
      </w:r>
      <w:r>
        <w:rPr>
          <w:rFonts w:hint="default" w:ascii="Times New Roman" w:hAnsi="Times New Roman" w:eastAsia="宋体"/>
          <w:sz w:val="24"/>
          <w:lang w:val="en-US" w:eastAsia="zh-CN"/>
        </w:rPr>
        <w:t>，</w:t>
      </w:r>
      <w:r>
        <w:rPr>
          <w:rFonts w:hint="eastAsia" w:ascii="Times New Roman" w:hAnsi="Times New Roman" w:eastAsia="宋体"/>
          <w:sz w:val="24"/>
          <w:lang w:val="en-US" w:eastAsia="zh-CN"/>
        </w:rPr>
        <w:t>进一步修改了标准讨论稿和编制说明。</w:t>
      </w:r>
    </w:p>
    <w:p w14:paraId="36EF5D1F">
      <w:pPr>
        <w:pStyle w:val="19"/>
        <w:ind w:firstLine="480"/>
        <w:rPr>
          <w:rStyle w:val="20"/>
          <w:rFonts w:hint="eastAsia"/>
        </w:rPr>
      </w:pPr>
      <w:r>
        <w:rPr>
          <w:rFonts w:hint="eastAsia" w:ascii="Times New Roman" w:hAnsi="Times New Roman" w:eastAsia="宋体"/>
          <w:sz w:val="24"/>
          <w:lang w:val="en-US" w:eastAsia="zh-CN"/>
        </w:rPr>
        <w:t>2026年4~6月，</w:t>
      </w:r>
      <w:r>
        <w:rPr>
          <w:rStyle w:val="20"/>
          <w:rFonts w:hint="eastAsia"/>
          <w:lang w:val="en-US" w:eastAsia="zh-CN"/>
        </w:rPr>
        <w:t>编制</w:t>
      </w:r>
      <w:r>
        <w:rPr>
          <w:rStyle w:val="20"/>
          <w:rFonts w:hint="eastAsia"/>
        </w:rPr>
        <w:t>组根据前期调研与研究成果，整理数据，初步完成了标准草案的编制，期间邀请行业专家针对标准草案开展了多次线上线下交流讨论会，针对标准中的主要条目和内容开展详细的研讨。</w:t>
      </w:r>
    </w:p>
    <w:p w14:paraId="79D493C2">
      <w:pPr>
        <w:pStyle w:val="19"/>
        <w:ind w:firstLine="480"/>
        <w:rPr>
          <w:rFonts w:hint="default"/>
          <w:lang w:val="en-US" w:eastAsia="zh-CN"/>
        </w:rPr>
      </w:pPr>
      <w:r>
        <w:rPr>
          <w:rFonts w:hint="eastAsia" w:ascii="Times New Roman" w:hAnsi="Times New Roman" w:eastAsia="宋体"/>
          <w:sz w:val="24"/>
          <w:lang w:val="en-US" w:eastAsia="zh-CN"/>
        </w:rPr>
        <w:t>2026年6月，</w:t>
      </w:r>
      <w:r>
        <w:rPr>
          <w:rStyle w:val="20"/>
          <w:rFonts w:hint="eastAsia"/>
          <w:lang w:val="en-US" w:eastAsia="zh-CN"/>
        </w:rPr>
        <w:t>编制</w:t>
      </w:r>
      <w:r>
        <w:rPr>
          <w:rStyle w:val="20"/>
          <w:rFonts w:hint="eastAsia"/>
        </w:rPr>
        <w:t>组针对标准适用范围、术语定义、技术要求等进行逐条讨论与校对，编制形成《</w:t>
      </w:r>
      <w:r>
        <w:rPr>
          <w:rStyle w:val="20"/>
          <w:rFonts w:hint="eastAsia"/>
          <w:lang w:val="en-US" w:eastAsia="zh-CN"/>
        </w:rPr>
        <w:t>工业氧化亚氮排放控制水平分级</w:t>
      </w:r>
      <w:r>
        <w:rPr>
          <w:rStyle w:val="20"/>
          <w:rFonts w:hint="eastAsia"/>
        </w:rPr>
        <w:t>》（征求意见稿）及编制说明。</w:t>
      </w:r>
    </w:p>
    <w:p w14:paraId="4BA49114">
      <w:pPr>
        <w:pStyle w:val="3"/>
        <w:spacing w:before="156" w:after="156"/>
        <w:rPr>
          <w:bCs/>
          <w:smallCaps/>
          <w:kern w:val="2"/>
          <w:sz w:val="36"/>
          <w:szCs w:val="28"/>
        </w:rPr>
      </w:pPr>
      <w:r>
        <w:rPr>
          <w:rFonts w:hint="eastAsia"/>
          <w:bCs/>
          <w:smallCaps/>
          <w:kern w:val="2"/>
          <w:sz w:val="36"/>
          <w:szCs w:val="28"/>
        </w:rPr>
        <w:t>标准制定的必要性和意义</w:t>
      </w:r>
    </w:p>
    <w:p w14:paraId="31C35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氧化亚氮兼具强效温室效应与臭氧层破坏双重危害，在我国温室气体排放体系中占据不可忽视的比重，2020年全国氧化亚氮排放量折合二氧化碳当量占温室气体总排放量的4.2%，其中工业生产过程排放占比达到24.7%，仅硝酸、己二酸、己内酰胺三大重点化工行业氧化亚氮折算二氧化碳当量总排放量可达到2.68亿吨，具备极大的减排空间，在当前仅具备排放核算标准、缺少统一分级管控标准的现状下，出台针对性分级标准是完善我国非二氧化碳温室气体管控技术支撑体系、保障“双碳”战略稳步落地的客观需要。</w:t>
      </w:r>
    </w:p>
    <w:p w14:paraId="77C0E3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硝酸、己二酸、己内酰胺生产工艺副产大量氧化亚氮，双加压法硝酸生产每吨产品对应N</w:t>
      </w:r>
      <w:r>
        <w:rPr>
          <w:rFonts w:hint="eastAsia" w:ascii="Times New Roman" w:hAnsi="Times New Roman" w:eastAsia="宋体"/>
          <w:sz w:val="24"/>
          <w:vertAlign w:val="subscript"/>
          <w:lang w:val="en-US" w:eastAsia="zh-CN"/>
        </w:rPr>
        <w:t>2</w:t>
      </w:r>
      <w:r>
        <w:rPr>
          <w:rFonts w:hint="eastAsia" w:ascii="Times New Roman" w:hAnsi="Times New Roman" w:eastAsia="宋体"/>
          <w:sz w:val="24"/>
          <w:lang w:val="en-US" w:eastAsia="zh-CN"/>
        </w:rPr>
        <w:t>O排放量约8.02kg，己二酸生产工艺单吨产品N</w:t>
      </w:r>
      <w:r>
        <w:rPr>
          <w:rFonts w:hint="eastAsia" w:ascii="Times New Roman" w:hAnsi="Times New Roman" w:eastAsia="宋体"/>
          <w:sz w:val="24"/>
          <w:vertAlign w:val="subscript"/>
          <w:lang w:val="en-US" w:eastAsia="zh-CN"/>
        </w:rPr>
        <w:t>2</w:t>
      </w:r>
      <w:r>
        <w:rPr>
          <w:rFonts w:hint="eastAsia" w:ascii="Times New Roman" w:hAnsi="Times New Roman" w:eastAsia="宋体"/>
          <w:sz w:val="24"/>
          <w:lang w:val="en-US" w:eastAsia="zh-CN"/>
        </w:rPr>
        <w:t>O排放量可达0.306吨，己内酰胺行业排放强度约为9kgN</w:t>
      </w:r>
      <w:r>
        <w:rPr>
          <w:rFonts w:hint="eastAsia" w:ascii="Times New Roman" w:hAnsi="Times New Roman" w:eastAsia="宋体"/>
          <w:sz w:val="24"/>
          <w:vertAlign w:val="subscript"/>
          <w:lang w:val="en-US" w:eastAsia="zh-CN"/>
        </w:rPr>
        <w:t>2</w:t>
      </w:r>
      <w:r>
        <w:rPr>
          <w:rFonts w:hint="eastAsia" w:ascii="Times New Roman" w:hAnsi="Times New Roman" w:eastAsia="宋体"/>
          <w:sz w:val="24"/>
          <w:lang w:val="en-US" w:eastAsia="zh-CN"/>
        </w:rPr>
        <w:t>O每吨产品，长期以来行业内缺少统一量化标尺划分企业排放控制层级，企业缺少清晰直观的减排对标依据，难以精准定位自身治理短板，主动开展工艺升级、尾气治理改造的导向仍需进一步明确。</w:t>
      </w:r>
    </w:p>
    <w:p w14:paraId="7779CA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Times New Roman" w:hAnsi="Times New Roman" w:eastAsia="宋体"/>
          <w:sz w:val="24"/>
          <w:lang w:val="en-US" w:eastAsia="zh-CN"/>
        </w:rPr>
        <w:t>本标准将搭建覆盖重点行业的氧化亚氮减排效率分级指标体系，为全行业企业提供标准化减排对标参照，引导企业主动开展绿色技术改造，持续降低生产环节氧化亚氮排放，推动行业整体排放控制水平向国际先进水准靠拢。统一的排放分级体系是工业氧化亚氮精细化监管与市场化减排激励机制落地的重要基础，现阶段分级标准缺失直接造成行业减排目标无法量化划分，主管部门缺少差异化管控、评价的权威技术依据，同时难以与自愿减排、绿色激励、行业约束等政策有效衔接。制定本标准能够补齐现有技术体系短板，为工业氧化亚氮差异化监管、减排绩效评估提供判定准则，也可为氧化亚氮减排自愿方法学设计、配套激励政策实施提供可靠技术支撑，打通“标准引领—技术减排—市场激励”的完整闭环路径，持续提升我国工业领域非二氧化碳温室气体精细化治理能力，助力国家自主贡献目标顺利达成，为美丽中国建设与全球气候治理工作提供坚实标准化支撑。</w:t>
      </w:r>
    </w:p>
    <w:p w14:paraId="7A7B6AD1">
      <w:pPr>
        <w:pStyle w:val="3"/>
        <w:spacing w:before="156" w:after="156"/>
      </w:pPr>
      <w:r>
        <w:rPr>
          <w:rFonts w:hint="eastAsia"/>
        </w:rPr>
        <w:t>行业概况</w:t>
      </w:r>
    </w:p>
    <w:p w14:paraId="0A2F26CB">
      <w:pPr>
        <w:pStyle w:val="4"/>
        <w:spacing w:before="156" w:after="156"/>
        <w:rPr>
          <w:rFonts w:hint="eastAsia"/>
          <w:lang w:val="en-US" w:eastAsia="zh-CN"/>
        </w:rPr>
      </w:pPr>
      <w:r>
        <w:rPr>
          <w:rFonts w:hint="eastAsia"/>
          <w:lang w:val="en-US" w:eastAsia="zh-CN"/>
        </w:rPr>
        <w:t>硝酸、己二酸、己内酰胺行业发展现状</w:t>
      </w:r>
    </w:p>
    <w:p w14:paraId="0E84C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硝酸是一种具有强氧化性、腐蚀性的强酸，属于一元无机强酸，是重要的化工原料。硝酸下游主要用于生产浓硝酸、硝酸铵、己二酸、MDI、TDI、硝基氯苯等。2007年我国硝酸生产技术实现突破，双加压法硝酸生产工艺广泛推广，带动硝酸总量快速增长，2012-2015年期间，硝酸产能年均增速达到18%，2015年我国硝酸总量达到历史最高值，为2100万吨。2016-2021年期间，硝酸总量维持小幅增长，到2023年，我国硝酸总产能2089万吨，产量1499万吨，占全球总量的20%左右，是全球最大的硝酸生产国家，2024年，我国硝酸产量增长至1547万吨。截至2025年，我国共有硝酸企业76家，硝酸装置118套。装置规模以15万吨/年、27万吨/年、36万吨/年为主。硝酸装置主要分布在北方地区，包括山东、陕西、河南、河北、陕西、新疆、内蒙古等省份，这些省份的硝酸产能占全国总量的64.5%；南方地区主要分布在贵州、重庆、四川等西南地区，这三省的硝酸产能占全国总量的14%。</w:t>
      </w:r>
    </w:p>
    <w:p w14:paraId="53EF8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己二酸是一种重要的有机化工原料，主要用于生产尼龙66、聚氨酯（PU）、增塑剂、润滑剂、食品添加剂等。2023年世界己二酸产能523.8万吨/年，产量为291.5万吨。中国是全球最大的己二酸生产国，2023年国内己二酸产能达374万吨/年。近年来，随着己二酸下游应用领域的扩展，尤其是新能源汽车、电子电器、高端装备制造等行业的快速发展，己二酸的市场需求持续增长。2023年国内己二酸年度总产量为230.75万吨，同比增长15.38%，显示出行业强劲的增长势头。随着政策的持续发力和技术的不断进步，中国己二酸产业正朝着高质量发展的方向稳步前进。</w:t>
      </w:r>
    </w:p>
    <w:p w14:paraId="611F54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己内酰胺是重要的环状有机化工中间体，上游以纯苯、环己酮、液氨、双氧水为核心原料，主流配套苯加氢制环己酮一体化产业链，国内生产主要为环己酮氨肟化法、羟胺法，主要用于生产尼龙-6纤维、尼龙-6工程塑料及相关高分子材料，并广泛应用于纺织、汽车、电子、机械等领域。近年来国内己内酰胺产能、产量连续三年稳步扩张，2022—2024年产能从583万吨/年增至693万吨/年，产量由423万吨提升至630万吨；产能利用率逐年上升，2024年开工率达90.9%，行业生产负荷显著提升，产业供给规模持续放大。截至2024年末，全国共有19家己内酰胺生产企业，总产能693万吨/年；己内酰胺行业产能集中度不高，国内前四家头部企业合计产能占全国总产能34.3%，生产企业分布在福建、山东、江苏、湖北、湖南、河北、河南、山西、浙江、内蒙古等省份。</w:t>
      </w:r>
    </w:p>
    <w:p w14:paraId="7A48F1B8">
      <w:pPr>
        <w:pStyle w:val="4"/>
        <w:spacing w:before="156" w:after="156"/>
        <w:rPr>
          <w:rFonts w:hint="default" w:ascii="Times New Roman" w:hAnsi="Times New Roman" w:eastAsia="楷体_GB2312" w:cs="Times New Roman"/>
          <w:b/>
          <w:bCs/>
          <w:smallCaps/>
          <w:kern w:val="2"/>
          <w:sz w:val="36"/>
          <w:szCs w:val="28"/>
          <w:lang w:val="en-US" w:eastAsia="zh-CN" w:bidi="ar-SA"/>
        </w:rPr>
      </w:pPr>
      <w:r>
        <w:rPr>
          <w:rFonts w:hint="eastAsia" w:ascii="Times New Roman" w:hAnsi="Times New Roman" w:eastAsia="楷体_GB2312" w:cs="Times New Roman"/>
          <w:b/>
          <w:bCs/>
          <w:smallCaps/>
          <w:kern w:val="2"/>
          <w:sz w:val="36"/>
          <w:szCs w:val="28"/>
          <w:lang w:val="en-US" w:eastAsia="zh-CN" w:bidi="ar-SA"/>
        </w:rPr>
        <w:t>硝酸、己二酸、己内酰胺</w:t>
      </w:r>
      <w:r>
        <w:rPr>
          <w:rFonts w:hint="eastAsia" w:ascii="Times New Roman" w:hAnsi="Times New Roman" w:cs="Times New Roman"/>
          <w:b/>
          <w:bCs/>
          <w:smallCaps/>
          <w:kern w:val="2"/>
          <w:sz w:val="36"/>
          <w:szCs w:val="28"/>
          <w:lang w:val="en-US" w:eastAsia="zh-CN" w:bidi="ar-SA"/>
        </w:rPr>
        <w:t>氧化亚氮</w:t>
      </w:r>
      <w:r>
        <w:rPr>
          <w:rFonts w:hint="eastAsia" w:ascii="Times New Roman" w:hAnsi="Times New Roman" w:eastAsia="楷体_GB2312" w:cs="Times New Roman"/>
          <w:b/>
          <w:bCs/>
          <w:smallCaps/>
          <w:kern w:val="2"/>
          <w:sz w:val="36"/>
          <w:szCs w:val="28"/>
          <w:lang w:val="en-US" w:eastAsia="zh-CN" w:bidi="ar-SA"/>
        </w:rPr>
        <w:t>减排</w:t>
      </w:r>
      <w:r>
        <w:rPr>
          <w:rFonts w:hint="eastAsia" w:ascii="Times New Roman" w:hAnsi="Times New Roman" w:cs="Times New Roman"/>
          <w:b/>
          <w:bCs/>
          <w:smallCaps/>
          <w:kern w:val="2"/>
          <w:sz w:val="36"/>
          <w:szCs w:val="28"/>
          <w:lang w:val="en-US" w:eastAsia="zh-CN" w:bidi="ar-SA"/>
        </w:rPr>
        <w:t>技术现状</w:t>
      </w:r>
    </w:p>
    <w:p w14:paraId="1ACFBE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工业废气氧化亚氮分解是工业领域削减N₂O大气排放的核心手段，硝酸生产环节主要通过优化工艺参数、扩大氨氧化反应室、催化分解三类路径实现氧化亚氮减排，其中调整工艺参数依靠降低反应温度、合理调控氨氧比抑制副反应生成氧化亚氮，但实操过程中需兼顾催化剂活性，参数调整不当会影响装置产能，同时带来能耗、原料消耗波动；采用扩大氨氧化反应室的减排方式，可延长反应气体停留时间，均衡反应器内部热量分布，促进氨氧化反应充分进行，从源头减少氧化亚氮副产物生成；若为新建生产装置配套扩容设计，将相应增加土建、设备购置及安装工程投入；针对现有在役装置实施改造扩容，除产生拆除、改造施工费用外，还会造成装置阶段性停工，带来生产损耗；催化分解技术成熟可靠，国内外均有工程应用案例，氧化亚氮去除效率较高，但运行期间需定期更换催化药剂，</w:t>
      </w:r>
      <w:r>
        <w:rPr>
          <w:rFonts w:hint="eastAsia" w:ascii="Times New Roman" w:hAnsi="Times New Roman" w:eastAsia="宋体"/>
          <w:sz w:val="24"/>
          <w:lang w:val="en-US" w:eastAsia="zh-CN"/>
        </w:rPr>
        <w:t>若采用炉外减排，</w:t>
      </w:r>
      <w:r>
        <w:rPr>
          <w:rFonts w:hint="default" w:ascii="Times New Roman" w:hAnsi="Times New Roman" w:eastAsia="宋体"/>
          <w:sz w:val="24"/>
          <w:lang w:val="en-US" w:eastAsia="zh-CN"/>
        </w:rPr>
        <w:t>炉外配套分解装置需占用额外场地，且减排设施运行会产生附加能耗。</w:t>
      </w:r>
    </w:p>
    <w:p w14:paraId="33035C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default" w:ascii="Times New Roman" w:hAnsi="Times New Roman" w:eastAsia="宋体"/>
          <w:sz w:val="24"/>
          <w:lang w:val="en-US" w:eastAsia="zh-CN"/>
        </w:rPr>
        <w:t>针对己二酸生产，行业减排路线分为分解销毁与资源化回收两大类，分解技术包含高温热分解法与催化分解法，高温热分解法在500–1200℃下借助贵金属或金属氧化物催化剂分解N₂O，分解效率约88%，但需耐高温合金反应器并配套余热锅炉，燃料消耗大、设备用材与贵金属催化剂成本高昂，暂未大规模推广；催化分解法在300–500℃区间完成N₂O分解，</w:t>
      </w:r>
      <w:r>
        <w:rPr>
          <w:rFonts w:hint="eastAsia" w:ascii="Times New Roman" w:hAnsi="Times New Roman" w:eastAsia="宋体"/>
          <w:sz w:val="24"/>
          <w:lang w:val="en-US" w:eastAsia="zh-CN"/>
        </w:rPr>
        <w:t>同时可产生余热蒸汽回用</w:t>
      </w:r>
      <w:r>
        <w:rPr>
          <w:rFonts w:hint="default" w:ascii="Times New Roman" w:hAnsi="Times New Roman" w:eastAsia="宋体"/>
          <w:sz w:val="24"/>
          <w:lang w:val="en-US" w:eastAsia="zh-CN"/>
        </w:rPr>
        <w:t>；资源化利用技术包含还原再生硝酸法、制备苯酚法，可回收提纯尾气中氧化亚氮用作半导体、医疗麻醉原料或化工反应原料，兼具减排与经济效益，但技术门槛高、前期投入大，其中还原再生硝酸法采用“氧化—加压—低温—多级水吸收”组合工艺可制得45%硝酸，目前尚未工业化。</w:t>
      </w:r>
    </w:p>
    <w:p w14:paraId="03A1DE4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cstheme="minorBidi"/>
          <w:kern w:val="2"/>
          <w:sz w:val="24"/>
          <w:szCs w:val="22"/>
          <w:lang w:val="en-US" w:eastAsia="zh-CN" w:bidi="ar-SA"/>
        </w:rPr>
        <w:t>己内酰胺装置氧化亚氮减排主要可采用高温热分解、炉外催化分解两类成熟工艺。高温热分解工艺通过高温工况将尾气中的氧化亚氮分解为氮气与氧气；炉外催化分解则在主生产装置外部设置催化反应单元，在适宜温度区间内借助专用催化剂完成氧化亚氮转化。伴随多年持续技术迭代优化，原本配套硝酸装置使用的炉外催化减排工艺，经过多年持续技术迭代与工艺适配升级，一批研究硝酸行业炉外减排技术的企业，对原有催化体系、装置工况进行针对性改良后，其成套减排技术同样可适配己内酰胺尾气组分特点，能够满足己内酰胺生产过程氧化亚氮减排需求。</w:t>
      </w:r>
    </w:p>
    <w:p w14:paraId="4EBC5ED2">
      <w:pPr>
        <w:pStyle w:val="3"/>
        <w:spacing w:before="156" w:after="156"/>
      </w:pPr>
      <w:r>
        <w:rPr>
          <w:rFonts w:hint="eastAsia"/>
        </w:rPr>
        <w:t>标准编制的基本原则和技术路线</w:t>
      </w:r>
    </w:p>
    <w:p w14:paraId="2B8E7402">
      <w:pPr>
        <w:pStyle w:val="4"/>
        <w:spacing w:before="156" w:after="156"/>
      </w:pPr>
      <w:r>
        <w:rPr>
          <w:rFonts w:hint="eastAsia"/>
        </w:rPr>
        <w:t>标准编制的基本原则</w:t>
      </w:r>
    </w:p>
    <w:p w14:paraId="0E9C060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cstheme="minorBidi"/>
          <w:kern w:val="2"/>
          <w:sz w:val="24"/>
          <w:szCs w:val="22"/>
          <w:lang w:val="en-US" w:eastAsia="zh-CN" w:bidi="ar-SA"/>
        </w:rPr>
        <w:t>本标准编制遵循先进性、科学性、一致性和可行性的原则，文件结构与条文编写按照T/CAS 1.1-2017《团体标准的结构和编写指南》及GB/T 1.1-2020《标准化工作导则第1部分：标准的结构和编写》相关要求执行。编制工作符合国家现行法律法规规定，编制全过程贴合国家《工业领域氧化亚氮排放控制行动方案》等法律法规与政策导向。</w:t>
      </w:r>
    </w:p>
    <w:p w14:paraId="6CD97CF5">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heme="minorBidi"/>
          <w:b w:val="0"/>
          <w:bCs w:val="0"/>
          <w:smallCaps w:val="0"/>
          <w:kern w:val="2"/>
          <w:sz w:val="24"/>
          <w:szCs w:val="22"/>
          <w:lang w:val="en-US" w:eastAsia="zh-CN" w:bidi="ar-SA"/>
        </w:rPr>
      </w:pPr>
      <w:r>
        <w:rPr>
          <w:rFonts w:hint="eastAsia" w:ascii="Times New Roman" w:hAnsi="Times New Roman" w:eastAsia="宋体" w:cstheme="minorBidi"/>
          <w:b w:val="0"/>
          <w:bCs w:val="0"/>
          <w:smallCaps w:val="0"/>
          <w:kern w:val="2"/>
          <w:sz w:val="24"/>
          <w:szCs w:val="22"/>
          <w:lang w:val="en-US" w:eastAsia="zh-CN" w:bidi="ar-SA"/>
        </w:rPr>
        <w:t>标准覆盖硝酸、己二酸、己内酰胺产品，设置氧化亚氮排放控制分级指标，兼顾行业现有治理装备基础与未来绿色升级方向，充分考虑存量装置改造可行性与新建项目技术引领性，体现了标准的先进性，标准对不同减排技术场景下的减排效率计算方法进行明确，具备可操作性，对数据监测方式及分级判定规则进行明确，有效保证数据质量，全面提升了标准的科学性。</w:t>
      </w:r>
    </w:p>
    <w:p w14:paraId="49EF07B3">
      <w:pPr>
        <w:pStyle w:val="4"/>
        <w:spacing w:before="156" w:after="156"/>
      </w:pPr>
      <w:r>
        <w:rPr>
          <w:rFonts w:hint="eastAsia"/>
        </w:rPr>
        <w:t>标准编制的技术路线</w:t>
      </w:r>
    </w:p>
    <w:p w14:paraId="72074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 w:val="0"/>
          <w:bCs w:val="0"/>
          <w:smallCaps w:val="0"/>
          <w:kern w:val="2"/>
          <w:sz w:val="24"/>
          <w:szCs w:val="22"/>
          <w:lang w:val="en-US" w:eastAsia="zh-CN" w:bidi="ar-SA"/>
        </w:rPr>
      </w:pPr>
      <w:r>
        <w:rPr>
          <w:rFonts w:hint="eastAsia" w:ascii="Times New Roman" w:hAnsi="Times New Roman" w:eastAsia="宋体" w:cstheme="minorBidi"/>
          <w:b w:val="0"/>
          <w:bCs w:val="0"/>
          <w:smallCaps w:val="0"/>
          <w:kern w:val="2"/>
          <w:sz w:val="24"/>
          <w:szCs w:val="22"/>
          <w:lang w:val="en-US" w:eastAsia="zh-CN" w:bidi="ar-SA"/>
        </w:rPr>
        <w:t>本标准对硝酸、己二酸、己内酰胺氧化亚氮减排技术及减排情况进行了充分的文献与数据调研，确定标准框架和主要技术要求，并按照标准编制的要求形成征求意见稿。标准编制技术路线如下图。</w:t>
      </w:r>
    </w:p>
    <w:p w14:paraId="1018110B">
      <w:pPr>
        <w:pStyle w:val="2"/>
        <w:jc w:val="center"/>
        <w:rPr>
          <w:rFonts w:hint="eastAsia"/>
          <w:lang w:val="en-US" w:eastAsia="zh-CN"/>
        </w:rPr>
      </w:pPr>
      <w:r>
        <w:rPr>
          <w:rFonts w:hint="eastAsia"/>
          <w:lang w:val="en-US" w:eastAsia="zh-CN"/>
        </w:rPr>
        <w:drawing>
          <wp:inline distT="0" distB="0" distL="114300" distR="114300">
            <wp:extent cx="3709670" cy="6519545"/>
            <wp:effectExtent l="0" t="0" r="0" b="0"/>
            <wp:docPr id="4" name="图片 4" descr="团标技术路线（宋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团标技术路线（宋体）"/>
                    <pic:cNvPicPr>
                      <a:picLocks noChangeAspect="1"/>
                    </pic:cNvPicPr>
                  </pic:nvPicPr>
                  <pic:blipFill>
                    <a:blip r:embed="rId4"/>
                    <a:stretch>
                      <a:fillRect/>
                    </a:stretch>
                  </pic:blipFill>
                  <pic:spPr>
                    <a:xfrm>
                      <a:off x="0" y="0"/>
                      <a:ext cx="3709670" cy="6519545"/>
                    </a:xfrm>
                    <a:prstGeom prst="rect">
                      <a:avLst/>
                    </a:prstGeom>
                  </pic:spPr>
                </pic:pic>
              </a:graphicData>
            </a:graphic>
          </wp:inline>
        </w:drawing>
      </w:r>
    </w:p>
    <w:p w14:paraId="2698BEC5">
      <w:pPr>
        <w:pStyle w:val="7"/>
        <w:jc w:val="center"/>
        <w:rPr>
          <w:rFonts w:hint="eastAsia" w:eastAsiaTheme="minorEastAsia"/>
          <w:lang w:val="en-US" w:eastAsia="zh-CN"/>
        </w:rPr>
      </w:pPr>
      <w:r>
        <w:t>图</w:t>
      </w:r>
      <w:r>
        <w:fldChar w:fldCharType="begin"/>
      </w:r>
      <w:r>
        <w:instrText xml:space="preserve"> SEQ 图 \* ARABIC </w:instrText>
      </w:r>
      <w:r>
        <w:fldChar w:fldCharType="separate"/>
      </w:r>
      <w:r>
        <w:t>1</w:t>
      </w:r>
      <w:r>
        <w:fldChar w:fldCharType="end"/>
      </w:r>
      <w:r>
        <w:rPr>
          <w:rFonts w:hint="eastAsia"/>
          <w:lang w:eastAsia="zh-CN"/>
        </w:rPr>
        <w:t>技术路线图</w:t>
      </w:r>
    </w:p>
    <w:p w14:paraId="691DF519"/>
    <w:p w14:paraId="70F78682">
      <w:pPr>
        <w:pStyle w:val="3"/>
        <w:spacing w:before="156" w:after="156"/>
      </w:pPr>
      <w:r>
        <w:rPr>
          <w:rFonts w:hint="eastAsia"/>
        </w:rPr>
        <w:t>标准主要编制内容和编制说明</w:t>
      </w:r>
    </w:p>
    <w:p w14:paraId="6A85A834">
      <w:pPr>
        <w:pStyle w:val="4"/>
        <w:spacing w:before="156" w:after="156"/>
        <w:rPr>
          <w:rFonts w:hint="eastAsia" w:ascii="Times New Roman" w:hAnsi="Times New Roman" w:cs="Times New Roman"/>
          <w:lang w:val="en-US" w:eastAsia="zh-CN"/>
        </w:rPr>
      </w:pPr>
      <w:r>
        <w:rPr>
          <w:rFonts w:hint="eastAsia" w:ascii="Times New Roman" w:hAnsi="Times New Roman" w:cs="Times New Roman"/>
          <w:lang w:val="en-US" w:eastAsia="zh-CN"/>
        </w:rPr>
        <w:t>适用范围</w:t>
      </w:r>
    </w:p>
    <w:p w14:paraId="0F5715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 w:val="0"/>
          <w:bCs w:val="0"/>
          <w:smallCaps w:val="0"/>
          <w:kern w:val="2"/>
          <w:sz w:val="24"/>
          <w:szCs w:val="22"/>
          <w:lang w:val="en-US" w:eastAsia="zh-CN" w:bidi="ar-SA"/>
        </w:rPr>
      </w:pPr>
      <w:r>
        <w:rPr>
          <w:rFonts w:hint="eastAsia" w:ascii="Times New Roman" w:hAnsi="Times New Roman" w:eastAsia="宋体" w:cstheme="minorBidi"/>
          <w:b w:val="0"/>
          <w:bCs w:val="0"/>
          <w:smallCaps w:val="0"/>
          <w:kern w:val="2"/>
          <w:sz w:val="24"/>
          <w:szCs w:val="22"/>
          <w:lang w:val="en-US" w:eastAsia="zh-CN" w:bidi="ar-SA"/>
        </w:rPr>
        <w:t>本文件规定了硝酸、己二酸、己内酰胺生产过程中的氧化亚氮排放控制水平分级、监测要求和分级判定要求。</w:t>
      </w:r>
    </w:p>
    <w:p w14:paraId="45FFF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 w:val="0"/>
          <w:bCs w:val="0"/>
          <w:smallCaps w:val="0"/>
          <w:kern w:val="2"/>
          <w:sz w:val="24"/>
          <w:szCs w:val="22"/>
          <w:lang w:val="en-US" w:eastAsia="zh-CN" w:bidi="ar-SA"/>
        </w:rPr>
      </w:pPr>
      <w:r>
        <w:rPr>
          <w:rFonts w:hint="eastAsia" w:ascii="Times New Roman" w:hAnsi="Times New Roman" w:eastAsia="宋体" w:cstheme="minorBidi"/>
          <w:b w:val="0"/>
          <w:bCs w:val="0"/>
          <w:smallCaps w:val="0"/>
          <w:kern w:val="2"/>
          <w:sz w:val="24"/>
          <w:szCs w:val="22"/>
          <w:lang w:val="en-US" w:eastAsia="zh-CN" w:bidi="ar-SA"/>
        </w:rPr>
        <w:t>本文件适用于实施氧化亚氮排放控制措施的硝酸、己二酸、己内酰胺生产企业开展氧化亚氮排放控制与管理。</w:t>
      </w:r>
    </w:p>
    <w:p w14:paraId="72059AE0">
      <w:pPr>
        <w:pStyle w:val="4"/>
        <w:spacing w:before="156" w:after="156"/>
        <w:rPr>
          <w:rFonts w:hint="eastAsia" w:ascii="Times New Roman" w:hAnsi="Times New Roman" w:cs="Times New Roman"/>
          <w:lang w:val="en-US" w:eastAsia="zh-CN"/>
        </w:rPr>
      </w:pPr>
      <w:r>
        <w:rPr>
          <w:rFonts w:hint="eastAsia" w:ascii="Times New Roman" w:hAnsi="Times New Roman" w:cs="Times New Roman"/>
          <w:lang w:val="en-US" w:eastAsia="zh-CN"/>
        </w:rPr>
        <w:t>术语和定义</w:t>
      </w:r>
    </w:p>
    <w:p w14:paraId="3A4BE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heme="minorBidi"/>
          <w:b w:val="0"/>
          <w:bCs w:val="0"/>
          <w:smallCaps w:val="0"/>
          <w:kern w:val="2"/>
          <w:sz w:val="24"/>
          <w:szCs w:val="22"/>
          <w:lang w:val="en-US" w:eastAsia="zh-CN" w:bidi="ar-SA"/>
        </w:rPr>
      </w:pPr>
      <w:r>
        <w:rPr>
          <w:rFonts w:hint="eastAsia" w:ascii="Times New Roman" w:hAnsi="Times New Roman" w:eastAsia="宋体" w:cstheme="minorBidi"/>
          <w:b w:val="0"/>
          <w:bCs w:val="0"/>
          <w:smallCaps w:val="0"/>
          <w:kern w:val="2"/>
          <w:sz w:val="24"/>
          <w:szCs w:val="22"/>
          <w:lang w:val="en-US" w:eastAsia="zh-CN" w:bidi="ar-SA"/>
        </w:rPr>
        <w:t>标准参照《硝酸行业氧化亚氮减排技术规范》（HG/T 6348）等文件中的术语和定义，并给出了基准监测周期的定义，用于支撑开展氧化亚氮减排效率的计算，从而帮助企业更好的实施氧化亚氮排放控制水平的分级判定与对标工作。</w:t>
      </w:r>
    </w:p>
    <w:p w14:paraId="4E95BE18">
      <w:pPr>
        <w:pStyle w:val="4"/>
        <w:spacing w:before="156" w:after="156"/>
        <w:rPr>
          <w:rFonts w:hint="eastAsia" w:ascii="Times New Roman" w:hAnsi="Times New Roman" w:cs="Times New Roman"/>
          <w:lang w:val="en-US" w:eastAsia="zh-CN"/>
        </w:rPr>
      </w:pPr>
      <w:r>
        <w:rPr>
          <w:rFonts w:hint="eastAsia" w:ascii="Times New Roman" w:hAnsi="Times New Roman" w:cs="Times New Roman"/>
          <w:lang w:val="en-US" w:eastAsia="zh-CN"/>
        </w:rPr>
        <w:t>排放控制水平分级</w:t>
      </w:r>
    </w:p>
    <w:p w14:paraId="45112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heme="minorBidi"/>
          <w:b w:val="0"/>
          <w:bCs w:val="0"/>
          <w:smallCaps w:val="0"/>
          <w:kern w:val="2"/>
          <w:sz w:val="24"/>
          <w:szCs w:val="22"/>
          <w:lang w:val="en-US" w:eastAsia="zh-CN" w:bidi="ar-SA"/>
        </w:rPr>
      </w:pPr>
      <w:r>
        <w:rPr>
          <w:rFonts w:hint="eastAsia" w:ascii="Times New Roman" w:hAnsi="Times New Roman" w:eastAsia="宋体" w:cstheme="minorBidi"/>
          <w:b w:val="0"/>
          <w:bCs w:val="0"/>
          <w:smallCaps w:val="0"/>
          <w:kern w:val="2"/>
          <w:sz w:val="24"/>
          <w:szCs w:val="22"/>
          <w:lang w:val="en-US" w:eastAsia="zh-CN" w:bidi="ar-SA"/>
        </w:rPr>
        <w:t>此部分给出了硝酸、己二酸、己内酰胺的减排效率基准水平、标杆水平、领先水平，同时区分两类减排场景配套差异化减排效率核算方法：一类为炉外减排等可同步获取氧化亚氮排放控制措施实施前后排放数据的减排工艺，可同步采集减排装置进出口氧化亚氮浓度、烟气流量数据，采用对应计算公式直接计算减排效率；另一类为工艺优化、炉内减排、炉内减排协同炉外减排组合工艺等无法同步获取氧化亚氮排放控制措施实施前后排放数据的，需先核算基准监测周期内的氧化亚氮排放强度，再结合治理后排放强度计算得出减排效率。</w:t>
      </w:r>
    </w:p>
    <w:p w14:paraId="0E242440">
      <w:pPr>
        <w:pStyle w:val="4"/>
        <w:spacing w:before="156" w:after="156"/>
        <w:rPr>
          <w:rFonts w:hint="eastAsia" w:ascii="Times New Roman" w:hAnsi="Times New Roman" w:cs="Times New Roman"/>
          <w:lang w:val="en-US" w:eastAsia="zh-CN"/>
        </w:rPr>
      </w:pPr>
      <w:r>
        <w:rPr>
          <w:rFonts w:hint="eastAsia" w:ascii="Times New Roman" w:hAnsi="Times New Roman" w:cs="Times New Roman"/>
          <w:lang w:val="en-US" w:eastAsia="zh-CN"/>
        </w:rPr>
        <w:t>监测要求</w:t>
      </w:r>
    </w:p>
    <w:p w14:paraId="76A60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heme="minorBidi"/>
          <w:b w:val="0"/>
          <w:bCs w:val="0"/>
          <w:smallCaps w:val="0"/>
          <w:kern w:val="2"/>
          <w:sz w:val="24"/>
          <w:szCs w:val="22"/>
          <w:lang w:val="en-US" w:eastAsia="zh-CN" w:bidi="ar-SA"/>
        </w:rPr>
      </w:pPr>
      <w:r>
        <w:rPr>
          <w:rFonts w:hint="eastAsia" w:ascii="Times New Roman" w:hAnsi="Times New Roman" w:eastAsia="宋体" w:cstheme="minorBidi"/>
          <w:b w:val="0"/>
          <w:bCs w:val="0"/>
          <w:smallCaps w:val="0"/>
          <w:kern w:val="2"/>
          <w:sz w:val="24"/>
          <w:szCs w:val="22"/>
          <w:lang w:val="en-US" w:eastAsia="zh-CN" w:bidi="ar-SA"/>
        </w:rPr>
        <w:t>本部分明确企业需采用连续排放监测系统开展氧化亚氮在线监测，结合工艺类型差异化设置配套监测点位要求：针对炉外减排装置，需在减排设施进口、出口分别布设在线监测单元，同步采集进出口氧化亚氮浓度与烟气流量数据；针对工艺优化、炉内减排、炉内减排搭配炉外减排联用等无法同步获取治理前后对比排放数据的生产装置，企业需按标准规定设置基准监测周期，采集满足时长、工况稳定要求的连续有效监测数据，同时，本部分规范了尾气氧化亚氮含量检测方法及监测设备的相关技术要求。</w:t>
      </w:r>
    </w:p>
    <w:p w14:paraId="0E14433F">
      <w:pPr>
        <w:pStyle w:val="4"/>
        <w:spacing w:before="156" w:after="156"/>
        <w:rPr>
          <w:rFonts w:hint="default" w:ascii="Times New Roman" w:hAnsi="Times New Roman" w:cs="Times New Roman"/>
          <w:lang w:val="en-US" w:eastAsia="zh-CN"/>
        </w:rPr>
      </w:pPr>
      <w:r>
        <w:rPr>
          <w:rFonts w:hint="eastAsia" w:ascii="Times New Roman" w:hAnsi="Times New Roman" w:cs="Times New Roman"/>
          <w:lang w:val="en-US" w:eastAsia="zh-CN"/>
        </w:rPr>
        <w:t>分级判定要求</w:t>
      </w:r>
    </w:p>
    <w:p w14:paraId="21007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heme="minorBidi"/>
          <w:b w:val="0"/>
          <w:bCs w:val="0"/>
          <w:smallCaps w:val="0"/>
          <w:kern w:val="2"/>
          <w:sz w:val="24"/>
          <w:szCs w:val="22"/>
          <w:lang w:val="en-US" w:eastAsia="zh-CN" w:bidi="ar-SA"/>
        </w:rPr>
      </w:pPr>
      <w:r>
        <w:rPr>
          <w:rFonts w:hint="default" w:ascii="Times New Roman" w:hAnsi="Times New Roman" w:eastAsia="宋体" w:cstheme="minorBidi"/>
          <w:b w:val="0"/>
          <w:bCs w:val="0"/>
          <w:smallCaps w:val="0"/>
          <w:kern w:val="2"/>
          <w:sz w:val="24"/>
          <w:szCs w:val="22"/>
          <w:lang w:val="en-US" w:eastAsia="zh-CN" w:bidi="ar-SA"/>
        </w:rPr>
        <w:t>本</w:t>
      </w:r>
      <w:r>
        <w:rPr>
          <w:rFonts w:hint="eastAsia" w:ascii="Times New Roman" w:hAnsi="Times New Roman" w:eastAsia="宋体" w:cstheme="minorBidi"/>
          <w:b w:val="0"/>
          <w:bCs w:val="0"/>
          <w:smallCaps w:val="0"/>
          <w:kern w:val="2"/>
          <w:sz w:val="24"/>
          <w:szCs w:val="22"/>
          <w:lang w:val="en-US" w:eastAsia="zh-CN" w:bidi="ar-SA"/>
        </w:rPr>
        <w:t>部分针对</w:t>
      </w:r>
      <w:r>
        <w:rPr>
          <w:rFonts w:hint="default" w:ascii="Times New Roman" w:hAnsi="Times New Roman" w:eastAsia="宋体" w:cstheme="minorBidi"/>
          <w:b w:val="0"/>
          <w:bCs w:val="0"/>
          <w:smallCaps w:val="0"/>
          <w:kern w:val="2"/>
          <w:sz w:val="24"/>
          <w:szCs w:val="22"/>
          <w:lang w:val="en-US" w:eastAsia="zh-CN" w:bidi="ar-SA"/>
        </w:rPr>
        <w:t>两类减排工艺分别明确分级判定核心依据，采用炉外减排工艺</w:t>
      </w:r>
      <w:r>
        <w:rPr>
          <w:rFonts w:hint="eastAsia" w:ascii="Times New Roman" w:hAnsi="Times New Roman" w:eastAsia="宋体" w:cstheme="minorBidi"/>
          <w:b w:val="0"/>
          <w:bCs w:val="0"/>
          <w:smallCaps w:val="0"/>
          <w:kern w:val="2"/>
          <w:sz w:val="24"/>
          <w:szCs w:val="22"/>
          <w:lang w:val="en-US" w:eastAsia="zh-CN" w:bidi="ar-SA"/>
        </w:rPr>
        <w:t>等</w:t>
      </w:r>
      <w:r>
        <w:rPr>
          <w:rFonts w:hint="default" w:ascii="Times New Roman" w:hAnsi="Times New Roman" w:eastAsia="宋体" w:cstheme="minorBidi"/>
          <w:b w:val="0"/>
          <w:bCs w:val="0"/>
          <w:smallCaps w:val="0"/>
          <w:kern w:val="2"/>
          <w:sz w:val="24"/>
          <w:szCs w:val="22"/>
          <w:lang w:val="en-US" w:eastAsia="zh-CN" w:bidi="ar-SA"/>
        </w:rPr>
        <w:t>可同步获取减排设施进出口监测数据的企业，</w:t>
      </w:r>
      <w:r>
        <w:rPr>
          <w:rFonts w:hint="eastAsia" w:ascii="Times New Roman" w:hAnsi="Times New Roman" w:eastAsia="宋体" w:cstheme="minorBidi"/>
          <w:b w:val="0"/>
          <w:bCs w:val="0"/>
          <w:smallCaps w:val="0"/>
          <w:kern w:val="2"/>
          <w:sz w:val="24"/>
          <w:szCs w:val="22"/>
          <w:lang w:val="en-US" w:eastAsia="zh-CN" w:bidi="ar-SA"/>
        </w:rPr>
        <w:t>将按</w:t>
      </w:r>
      <w:r>
        <w:rPr>
          <w:rFonts w:hint="default" w:ascii="Times New Roman" w:hAnsi="Times New Roman" w:eastAsia="宋体" w:cstheme="minorBidi"/>
          <w:b w:val="0"/>
          <w:bCs w:val="0"/>
          <w:smallCaps w:val="0"/>
          <w:kern w:val="2"/>
          <w:sz w:val="24"/>
          <w:szCs w:val="22"/>
          <w:lang w:val="en-US" w:eastAsia="zh-CN" w:bidi="ar-SA"/>
        </w:rPr>
        <w:t>年度核算得出的氧化亚氮减排效率作为分级判定</w:t>
      </w:r>
      <w:r>
        <w:rPr>
          <w:rFonts w:hint="eastAsia" w:ascii="Times New Roman" w:hAnsi="Times New Roman" w:eastAsia="宋体" w:cstheme="minorBidi"/>
          <w:b w:val="0"/>
          <w:bCs w:val="0"/>
          <w:smallCaps w:val="0"/>
          <w:kern w:val="2"/>
          <w:sz w:val="24"/>
          <w:szCs w:val="22"/>
          <w:lang w:val="en-US" w:eastAsia="zh-CN" w:bidi="ar-SA"/>
        </w:rPr>
        <w:t>依据</w:t>
      </w:r>
      <w:r>
        <w:rPr>
          <w:rFonts w:hint="default" w:ascii="Times New Roman" w:hAnsi="Times New Roman" w:eastAsia="宋体" w:cstheme="minorBidi"/>
          <w:b w:val="0"/>
          <w:bCs w:val="0"/>
          <w:smallCaps w:val="0"/>
          <w:kern w:val="2"/>
          <w:sz w:val="24"/>
          <w:szCs w:val="22"/>
          <w:lang w:val="en-US" w:eastAsia="zh-CN" w:bidi="ar-SA"/>
        </w:rPr>
        <w:t>；采用工艺优化、炉内减排、炉内减排与炉外减排组合工艺</w:t>
      </w:r>
      <w:r>
        <w:rPr>
          <w:rFonts w:hint="eastAsia" w:ascii="Times New Roman" w:hAnsi="Times New Roman" w:eastAsia="宋体" w:cstheme="minorBidi"/>
          <w:b w:val="0"/>
          <w:bCs w:val="0"/>
          <w:smallCaps w:val="0"/>
          <w:kern w:val="2"/>
          <w:sz w:val="24"/>
          <w:szCs w:val="22"/>
          <w:lang w:val="en-US" w:eastAsia="zh-CN" w:bidi="ar-SA"/>
        </w:rPr>
        <w:t>等</w:t>
      </w:r>
      <w:r>
        <w:rPr>
          <w:rFonts w:hint="default" w:ascii="Times New Roman" w:hAnsi="Times New Roman" w:eastAsia="宋体" w:cstheme="minorBidi"/>
          <w:b w:val="0"/>
          <w:bCs w:val="0"/>
          <w:smallCaps w:val="0"/>
          <w:kern w:val="2"/>
          <w:sz w:val="24"/>
          <w:szCs w:val="22"/>
          <w:lang w:val="en-US" w:eastAsia="zh-CN" w:bidi="ar-SA"/>
        </w:rPr>
        <w:t>无法同步获取治理前后对比排放数据的企业，需先依托基准监测周期有效数据计算基准排放强度，结合治理后排放强度</w:t>
      </w:r>
      <w:r>
        <w:rPr>
          <w:rFonts w:hint="eastAsia" w:ascii="Times New Roman" w:hAnsi="Times New Roman" w:eastAsia="宋体" w:cstheme="minorBidi"/>
          <w:b w:val="0"/>
          <w:bCs w:val="0"/>
          <w:smallCaps w:val="0"/>
          <w:kern w:val="2"/>
          <w:sz w:val="24"/>
          <w:szCs w:val="22"/>
          <w:lang w:val="en-US" w:eastAsia="zh-CN" w:bidi="ar-SA"/>
        </w:rPr>
        <w:t>计算</w:t>
      </w:r>
      <w:r>
        <w:rPr>
          <w:rFonts w:hint="default" w:ascii="Times New Roman" w:hAnsi="Times New Roman" w:eastAsia="宋体" w:cstheme="minorBidi"/>
          <w:b w:val="0"/>
          <w:bCs w:val="0"/>
          <w:smallCaps w:val="0"/>
          <w:kern w:val="2"/>
          <w:sz w:val="24"/>
          <w:szCs w:val="22"/>
          <w:lang w:val="en-US" w:eastAsia="zh-CN" w:bidi="ar-SA"/>
        </w:rPr>
        <w:t>减排效率，以此完成分级判定。同时</w:t>
      </w:r>
      <w:r>
        <w:rPr>
          <w:rFonts w:hint="eastAsia" w:ascii="Times New Roman" w:hAnsi="Times New Roman" w:eastAsia="宋体" w:cstheme="minorBidi"/>
          <w:b w:val="0"/>
          <w:bCs w:val="0"/>
          <w:smallCaps w:val="0"/>
          <w:kern w:val="2"/>
          <w:sz w:val="24"/>
          <w:szCs w:val="22"/>
          <w:lang w:val="en-US" w:eastAsia="zh-CN" w:bidi="ar-SA"/>
        </w:rPr>
        <w:t>，</w:t>
      </w:r>
      <w:r>
        <w:rPr>
          <w:rFonts w:hint="default" w:ascii="Times New Roman" w:hAnsi="Times New Roman" w:eastAsia="宋体" w:cstheme="minorBidi"/>
          <w:b w:val="0"/>
          <w:bCs w:val="0"/>
          <w:smallCaps w:val="0"/>
          <w:kern w:val="2"/>
          <w:sz w:val="24"/>
          <w:szCs w:val="22"/>
          <w:lang w:val="en-US" w:eastAsia="zh-CN" w:bidi="ar-SA"/>
        </w:rPr>
        <w:t>本</w:t>
      </w:r>
      <w:r>
        <w:rPr>
          <w:rFonts w:hint="eastAsia" w:ascii="Times New Roman" w:hAnsi="Times New Roman" w:eastAsia="宋体" w:cstheme="minorBidi"/>
          <w:b w:val="0"/>
          <w:bCs w:val="0"/>
          <w:smallCaps w:val="0"/>
          <w:kern w:val="2"/>
          <w:sz w:val="24"/>
          <w:szCs w:val="22"/>
          <w:lang w:val="en-US" w:eastAsia="zh-CN" w:bidi="ar-SA"/>
        </w:rPr>
        <w:t>部分</w:t>
      </w:r>
      <w:r>
        <w:rPr>
          <w:rFonts w:hint="default" w:ascii="Times New Roman" w:hAnsi="Times New Roman" w:eastAsia="宋体" w:cstheme="minorBidi"/>
          <w:b w:val="0"/>
          <w:bCs w:val="0"/>
          <w:smallCaps w:val="0"/>
          <w:kern w:val="2"/>
          <w:sz w:val="24"/>
          <w:szCs w:val="22"/>
          <w:lang w:val="en-US" w:eastAsia="zh-CN" w:bidi="ar-SA"/>
        </w:rPr>
        <w:t>提出监测数据有效性、数据质量管控相关规定，明确数据有效性判定执行</w:t>
      </w:r>
      <w:r>
        <w:rPr>
          <w:rFonts w:hint="eastAsia" w:ascii="Times New Roman" w:hAnsi="Times New Roman" w:eastAsia="宋体" w:cstheme="minorBidi"/>
          <w:b w:val="0"/>
          <w:bCs w:val="0"/>
          <w:smallCaps w:val="0"/>
          <w:kern w:val="2"/>
          <w:sz w:val="24"/>
          <w:szCs w:val="22"/>
          <w:lang w:val="en-US" w:eastAsia="zh-CN" w:bidi="ar-SA"/>
        </w:rPr>
        <w:t>标准</w:t>
      </w:r>
      <w:r>
        <w:rPr>
          <w:rFonts w:hint="default" w:ascii="Times New Roman" w:hAnsi="Times New Roman" w:eastAsia="宋体" w:cstheme="minorBidi"/>
          <w:b w:val="0"/>
          <w:bCs w:val="0"/>
          <w:smallCaps w:val="0"/>
          <w:kern w:val="2"/>
          <w:sz w:val="24"/>
          <w:szCs w:val="22"/>
          <w:lang w:val="en-US" w:eastAsia="zh-CN" w:bidi="ar-SA"/>
        </w:rPr>
        <w:t>，为分级判定结果提供可信的数据支撑。</w:t>
      </w:r>
    </w:p>
    <w:p w14:paraId="4C0E3883">
      <w:pPr>
        <w:pStyle w:val="3"/>
        <w:spacing w:before="156" w:after="156"/>
      </w:pPr>
      <w:r>
        <w:rPr>
          <w:rFonts w:hint="eastAsia"/>
        </w:rPr>
        <w:t>与国内同类标准水平的对比情况</w:t>
      </w:r>
    </w:p>
    <w:p w14:paraId="589AE530">
      <w:pPr>
        <w:pStyle w:val="4"/>
        <w:spacing w:before="156" w:after="156"/>
      </w:pPr>
      <w:r>
        <w:rPr>
          <w:rFonts w:hint="eastAsia"/>
        </w:rPr>
        <w:t>国内同类标准情况</w:t>
      </w:r>
    </w:p>
    <w:p w14:paraId="4987E22A">
      <w:pPr>
        <w:pStyle w:val="19"/>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heme="minorBidi"/>
          <w:b w:val="0"/>
          <w:bCs w:val="0"/>
          <w:smallCaps w:val="0"/>
          <w:kern w:val="2"/>
          <w:sz w:val="24"/>
          <w:szCs w:val="22"/>
          <w:lang w:val="en-US" w:eastAsia="zh-CN" w:bidi="ar-SA"/>
        </w:rPr>
      </w:pPr>
      <w:r>
        <w:rPr>
          <w:rFonts w:hint="eastAsia" w:ascii="Times New Roman" w:hAnsi="Times New Roman" w:eastAsia="宋体" w:cstheme="minorBidi"/>
          <w:b w:val="0"/>
          <w:bCs w:val="0"/>
          <w:smallCaps w:val="0"/>
          <w:kern w:val="2"/>
          <w:sz w:val="24"/>
          <w:szCs w:val="22"/>
          <w:lang w:val="en-US" w:eastAsia="zh-CN" w:bidi="ar-SA"/>
        </w:rPr>
        <w:t>当前国内已发布的工业氧化亚氮相关标准，如《碳排放核算与报告要求第10部分：化工生产企业》（GB/T 32151.10）和《硝酸生产企业氧化亚氮（N</w:t>
      </w:r>
      <w:r>
        <w:rPr>
          <w:rFonts w:hint="eastAsia" w:ascii="Times New Roman" w:hAnsi="Times New Roman" w:eastAsia="宋体" w:cstheme="minorBidi"/>
          <w:b w:val="0"/>
          <w:bCs w:val="0"/>
          <w:smallCaps w:val="0"/>
          <w:kern w:val="2"/>
          <w:sz w:val="24"/>
          <w:szCs w:val="22"/>
          <w:vertAlign w:val="subscript"/>
          <w:lang w:val="en-US" w:eastAsia="zh-CN" w:bidi="ar-SA"/>
        </w:rPr>
        <w:t>2</w:t>
      </w:r>
      <w:r>
        <w:rPr>
          <w:rFonts w:hint="eastAsia" w:ascii="Times New Roman" w:hAnsi="Times New Roman" w:eastAsia="宋体" w:cstheme="minorBidi"/>
          <w:b w:val="0"/>
          <w:bCs w:val="0"/>
          <w:smallCaps w:val="0"/>
          <w:kern w:val="2"/>
          <w:sz w:val="24"/>
          <w:szCs w:val="22"/>
          <w:lang w:val="en-US" w:eastAsia="zh-CN" w:bidi="ar-SA"/>
        </w:rPr>
        <w:t>O）排放量的计算方法》（HG/T 4488）等，仅聚焦工业氧化亚氮排放量、减排量的核算逻辑与计算方法，提供基础排放因子、减排去除系数用于排放量统计，未针对硝酸、己二酸、己内酰胺行业构建分层、量化的排放控制水平分级体系。</w:t>
      </w:r>
    </w:p>
    <w:p w14:paraId="3B270928">
      <w:pPr>
        <w:pStyle w:val="4"/>
        <w:spacing w:before="156" w:after="156"/>
        <w:rPr>
          <w:rFonts w:hint="eastAsia" w:ascii="Times New Roman" w:hAnsi="Times New Roman" w:cs="Times New Roman"/>
        </w:rPr>
      </w:pPr>
      <w:r>
        <w:rPr>
          <w:rFonts w:hint="eastAsia" w:ascii="Times New Roman" w:hAnsi="Times New Roman" w:cs="Times New Roman"/>
        </w:rPr>
        <w:t>对比分析</w:t>
      </w:r>
    </w:p>
    <w:p w14:paraId="26EA5391">
      <w:pPr>
        <w:pStyle w:val="19"/>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heme="minorBidi"/>
          <w:b w:val="0"/>
          <w:bCs w:val="0"/>
          <w:smallCaps w:val="0"/>
          <w:kern w:val="2"/>
          <w:sz w:val="24"/>
          <w:szCs w:val="22"/>
          <w:lang w:val="en-US" w:eastAsia="zh-CN" w:bidi="ar-SA"/>
        </w:rPr>
      </w:pPr>
      <w:r>
        <w:rPr>
          <w:rFonts w:hint="eastAsia" w:ascii="Times New Roman" w:hAnsi="Times New Roman" w:eastAsia="宋体" w:cstheme="minorBidi"/>
          <w:b w:val="0"/>
          <w:bCs w:val="0"/>
          <w:smallCaps w:val="0"/>
          <w:kern w:val="2"/>
          <w:sz w:val="24"/>
          <w:szCs w:val="22"/>
          <w:lang w:val="en-US" w:eastAsia="zh-CN" w:bidi="ar-SA"/>
        </w:rPr>
        <w:t>国家标准GB/T 32151.10《碳排放核算与报告要求 第10部分：化工生产企业》及《省级温室气体清单编制指南（2025版）》对硝酸、己二酸排放核算方式进行了规定，并给出了氧化亚氮排放因子，但未给出尾气处理装置的尾气去除效率等参数，标准建议通过实测方式获取尾气中的氧化亚氮实际排放情况，未给出明确数值。</w:t>
      </w:r>
    </w:p>
    <w:p w14:paraId="5C562DED">
      <w:pPr>
        <w:pStyle w:val="19"/>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heme="minorBidi"/>
          <w:b w:val="0"/>
          <w:bCs w:val="0"/>
          <w:smallCaps w:val="0"/>
          <w:kern w:val="2"/>
          <w:sz w:val="24"/>
          <w:szCs w:val="22"/>
          <w:lang w:val="en-US" w:eastAsia="zh-CN" w:bidi="ar-SA"/>
        </w:rPr>
      </w:pPr>
      <w:r>
        <w:rPr>
          <w:rFonts w:hint="eastAsia" w:ascii="Times New Roman" w:hAnsi="Times New Roman" w:eastAsia="宋体" w:cstheme="minorBidi"/>
          <w:b w:val="0"/>
          <w:bCs w:val="0"/>
          <w:smallCaps w:val="0"/>
          <w:kern w:val="2"/>
          <w:sz w:val="24"/>
          <w:szCs w:val="22"/>
          <w:lang w:val="en-US" w:eastAsia="zh-CN" w:bidi="ar-SA"/>
        </w:rPr>
        <w:t>行业标准HG/T 4488《硝酸生产企业氧化亚氮（N</w:t>
      </w:r>
      <w:r>
        <w:rPr>
          <w:rFonts w:hint="eastAsia" w:ascii="Times New Roman" w:hAnsi="Times New Roman" w:eastAsia="宋体" w:cstheme="minorBidi"/>
          <w:b w:val="0"/>
          <w:bCs w:val="0"/>
          <w:smallCaps w:val="0"/>
          <w:kern w:val="2"/>
          <w:sz w:val="24"/>
          <w:szCs w:val="22"/>
          <w:vertAlign w:val="subscript"/>
          <w:lang w:val="en-US" w:eastAsia="zh-CN" w:bidi="ar-SA"/>
        </w:rPr>
        <w:t>2</w:t>
      </w:r>
      <w:r>
        <w:rPr>
          <w:rFonts w:hint="eastAsia" w:ascii="Times New Roman" w:hAnsi="Times New Roman" w:eastAsia="宋体" w:cstheme="minorBidi"/>
          <w:b w:val="0"/>
          <w:bCs w:val="0"/>
          <w:smallCaps w:val="0"/>
          <w:kern w:val="2"/>
          <w:sz w:val="24"/>
          <w:szCs w:val="22"/>
          <w:lang w:val="en-US" w:eastAsia="zh-CN" w:bidi="ar-SA"/>
        </w:rPr>
        <w:t>O）排放量计算方法》给出了硝酸生产过程的氧化亚氮排放计算方法以及采用非选择性催化还原脱硝技术的氧化亚氮减排系数（80%），未明确规定氧化亚氮尾气排放的具体情况。</w:t>
      </w:r>
    </w:p>
    <w:p w14:paraId="7B30505C">
      <w:pPr>
        <w:pStyle w:val="19"/>
        <w:keepNext w:val="0"/>
        <w:keepLines w:val="0"/>
        <w:pageBreakBefore w:val="0"/>
        <w:widowControl w:val="0"/>
        <w:kinsoku/>
        <w:wordWrap/>
        <w:overflowPunct/>
        <w:topLinePunct w:val="0"/>
        <w:autoSpaceDE/>
        <w:autoSpaceDN/>
        <w:bidi w:val="0"/>
        <w:adjustRightInd/>
        <w:snapToGrid/>
        <w:ind w:firstLine="480" w:firstLineChars="200"/>
        <w:jc w:val="both"/>
        <w:textAlignment w:val="auto"/>
      </w:pPr>
      <w:r>
        <w:rPr>
          <w:rFonts w:hint="eastAsia" w:ascii="Times New Roman" w:hAnsi="Times New Roman" w:eastAsia="宋体" w:cstheme="minorBidi"/>
          <w:b w:val="0"/>
          <w:bCs w:val="0"/>
          <w:smallCaps w:val="0"/>
          <w:kern w:val="2"/>
          <w:sz w:val="24"/>
          <w:szCs w:val="22"/>
          <w:lang w:val="en-US" w:eastAsia="zh-CN" w:bidi="ar-SA"/>
        </w:rPr>
        <w:t>行业标准HG/T 6348《硝酸行业氧化亚氮减排技术规范》给出了硝酸氧化亚氮减排的计算方法及减排催化剂的氧化亚氮分解率，未对氧化亚氮的减排水平给出评价标准。</w:t>
      </w:r>
    </w:p>
    <w:p w14:paraId="3390BDCA">
      <w:pPr>
        <w:pStyle w:val="3"/>
        <w:spacing w:before="156" w:after="156"/>
      </w:pPr>
      <w:r>
        <w:rPr>
          <w:rFonts w:hint="eastAsia"/>
        </w:rPr>
        <w:t>与国际、国外同类标准水平的对比情况</w:t>
      </w:r>
    </w:p>
    <w:p w14:paraId="4507D758">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ind w:leftChars="0" w:firstLine="480" w:firstLineChars="200"/>
        <w:textAlignment w:val="auto"/>
        <w:rPr>
          <w:rFonts w:hint="eastAsia" w:ascii="Times New Roman" w:hAnsi="Times New Roman" w:eastAsia="宋体" w:cstheme="minorBidi"/>
          <w:b w:val="0"/>
          <w:bCs w:val="0"/>
          <w:smallCaps w:val="0"/>
          <w:kern w:val="2"/>
          <w:sz w:val="24"/>
          <w:szCs w:val="22"/>
          <w:lang w:val="en-US" w:eastAsia="zh-CN" w:bidi="ar-SA"/>
        </w:rPr>
      </w:pPr>
      <w:r>
        <w:rPr>
          <w:rFonts w:hint="default" w:ascii="Times New Roman" w:hAnsi="Times New Roman" w:eastAsia="宋体" w:cstheme="minorBidi"/>
          <w:b w:val="0"/>
          <w:bCs w:val="0"/>
          <w:smallCaps w:val="0"/>
          <w:kern w:val="2"/>
          <w:sz w:val="24"/>
          <w:szCs w:val="22"/>
          <w:lang w:val="en-US" w:eastAsia="zh-CN" w:bidi="ar-SA"/>
        </w:rPr>
        <w:t>国外发达国家及地区主要依托碳市场</w:t>
      </w:r>
      <w:r>
        <w:rPr>
          <w:rFonts w:hint="eastAsia" w:ascii="Times New Roman" w:hAnsi="Times New Roman" w:eastAsia="宋体" w:cstheme="minorBidi"/>
          <w:b w:val="0"/>
          <w:bCs w:val="0"/>
          <w:smallCaps w:val="0"/>
          <w:kern w:val="2"/>
          <w:sz w:val="24"/>
          <w:szCs w:val="22"/>
          <w:lang w:val="en-US" w:eastAsia="zh-CN" w:bidi="ar-SA"/>
        </w:rPr>
        <w:t>机制</w:t>
      </w:r>
      <w:r>
        <w:rPr>
          <w:rFonts w:hint="default" w:ascii="Times New Roman" w:hAnsi="Times New Roman" w:eastAsia="宋体" w:cstheme="minorBidi"/>
          <w:b w:val="0"/>
          <w:bCs w:val="0"/>
          <w:smallCaps w:val="0"/>
          <w:kern w:val="2"/>
          <w:sz w:val="24"/>
          <w:szCs w:val="22"/>
          <w:lang w:val="en-US" w:eastAsia="zh-CN" w:bidi="ar-SA"/>
        </w:rPr>
        <w:t>、法规指令、温室气体报告制度</w:t>
      </w:r>
      <w:r>
        <w:rPr>
          <w:rFonts w:hint="eastAsia" w:ascii="Times New Roman" w:hAnsi="Times New Roman" w:eastAsia="宋体" w:cstheme="minorBidi"/>
          <w:b w:val="0"/>
          <w:bCs w:val="0"/>
          <w:smallCaps w:val="0"/>
          <w:kern w:val="2"/>
          <w:sz w:val="24"/>
          <w:szCs w:val="22"/>
          <w:lang w:val="en-US" w:eastAsia="zh-CN" w:bidi="ar-SA"/>
        </w:rPr>
        <w:t>等政策</w:t>
      </w:r>
      <w:r>
        <w:rPr>
          <w:rFonts w:hint="default" w:ascii="Times New Roman" w:hAnsi="Times New Roman" w:eastAsia="宋体" w:cstheme="minorBidi"/>
          <w:b w:val="0"/>
          <w:bCs w:val="0"/>
          <w:smallCaps w:val="0"/>
          <w:kern w:val="2"/>
          <w:sz w:val="24"/>
          <w:szCs w:val="22"/>
          <w:lang w:val="en-US" w:eastAsia="zh-CN" w:bidi="ar-SA"/>
        </w:rPr>
        <w:t>管控工业氧化亚氮排放，形成了核算监测、市场</w:t>
      </w:r>
      <w:r>
        <w:rPr>
          <w:rFonts w:hint="eastAsia" w:ascii="Times New Roman" w:hAnsi="Times New Roman" w:eastAsia="宋体" w:cstheme="minorBidi"/>
          <w:b w:val="0"/>
          <w:bCs w:val="0"/>
          <w:smallCaps w:val="0"/>
          <w:kern w:val="2"/>
          <w:sz w:val="24"/>
          <w:szCs w:val="22"/>
          <w:lang w:val="en-US" w:eastAsia="zh-CN" w:bidi="ar-SA"/>
        </w:rPr>
        <w:t>调控</w:t>
      </w:r>
      <w:r>
        <w:rPr>
          <w:rFonts w:hint="default" w:ascii="Times New Roman" w:hAnsi="Times New Roman" w:eastAsia="宋体" w:cstheme="minorBidi"/>
          <w:b w:val="0"/>
          <w:bCs w:val="0"/>
          <w:smallCaps w:val="0"/>
          <w:kern w:val="2"/>
          <w:sz w:val="24"/>
          <w:szCs w:val="22"/>
          <w:lang w:val="en-US" w:eastAsia="zh-CN" w:bidi="ar-SA"/>
        </w:rPr>
        <w:t>、技术指引相结合的管控模式，但均未建立覆盖硝酸、己二酸、己内酰胺全品类、分层量化的排放控制分级指标体系</w:t>
      </w:r>
      <w:r>
        <w:rPr>
          <w:rFonts w:hint="eastAsia" w:ascii="Times New Roman" w:hAnsi="Times New Roman" w:eastAsia="宋体" w:cstheme="minorBidi"/>
          <w:b w:val="0"/>
          <w:bCs w:val="0"/>
          <w:smallCaps w:val="0"/>
          <w:kern w:val="2"/>
          <w:sz w:val="24"/>
          <w:szCs w:val="22"/>
          <w:lang w:val="en-US" w:eastAsia="zh-CN" w:bidi="ar-SA"/>
        </w:rPr>
        <w:t>。</w:t>
      </w:r>
    </w:p>
    <w:p w14:paraId="16856C05">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ind w:leftChars="0" w:firstLine="480" w:firstLineChars="200"/>
        <w:textAlignment w:val="auto"/>
        <w:rPr>
          <w:rFonts w:hint="default" w:ascii="Times New Roman" w:hAnsi="Times New Roman" w:eastAsia="宋体" w:cstheme="minorBidi"/>
          <w:b w:val="0"/>
          <w:bCs w:val="0"/>
          <w:smallCaps w:val="0"/>
          <w:kern w:val="2"/>
          <w:sz w:val="24"/>
          <w:szCs w:val="22"/>
          <w:lang w:val="en-US" w:eastAsia="zh-CN" w:bidi="ar-SA"/>
        </w:rPr>
      </w:pPr>
      <w:r>
        <w:rPr>
          <w:rFonts w:hint="default" w:ascii="Times New Roman" w:hAnsi="Times New Roman" w:eastAsia="宋体" w:cstheme="minorBidi"/>
          <w:b w:val="0"/>
          <w:bCs w:val="0"/>
          <w:smallCaps w:val="0"/>
          <w:kern w:val="2"/>
          <w:sz w:val="24"/>
          <w:szCs w:val="22"/>
          <w:lang w:val="en-US" w:eastAsia="zh-CN" w:bidi="ar-SA"/>
        </w:rPr>
        <w:t>欧盟将硝酸、己二酸的氧化亚氮排放纳入EU-ETS交易机制（并未包括己内酰胺的氧化亚氮排放），并通过发布最佳可行技术参考文件提供减排技术指引，欧盟最佳技术实践按照新建及现有工厂给出排放因子及排放浓度情况，并未区分具体工艺。EU-ETS</w:t>
      </w:r>
      <w:r>
        <w:rPr>
          <w:rFonts w:hint="eastAsia" w:ascii="Times New Roman" w:hAnsi="Times New Roman" w:eastAsia="宋体" w:cstheme="minorBidi"/>
          <w:b w:val="0"/>
          <w:bCs w:val="0"/>
          <w:smallCaps w:val="0"/>
          <w:kern w:val="2"/>
          <w:sz w:val="24"/>
          <w:szCs w:val="22"/>
          <w:lang w:val="en-US" w:eastAsia="zh-CN" w:bidi="ar-SA"/>
        </w:rPr>
        <w:t>第四阶段</w:t>
      </w:r>
      <w:r>
        <w:rPr>
          <w:rFonts w:hint="default" w:ascii="Times New Roman" w:hAnsi="Times New Roman" w:eastAsia="宋体" w:cstheme="minorBidi"/>
          <w:b w:val="0"/>
          <w:bCs w:val="0"/>
          <w:smallCaps w:val="0"/>
          <w:kern w:val="2"/>
          <w:sz w:val="24"/>
          <w:szCs w:val="22"/>
          <w:lang w:val="en-US" w:eastAsia="zh-CN" w:bidi="ar-SA"/>
        </w:rPr>
        <w:t>对硝酸及己二酸生产发放的配额为0.23个配额每吨硝酸及2.12个配额每吨己二酸。欧盟Directive 2003/87/EC指令在核算与报告方面对硝酸</w:t>
      </w:r>
      <w:r>
        <w:rPr>
          <w:rFonts w:hint="eastAsia" w:ascii="Times New Roman" w:hAnsi="Times New Roman" w:eastAsia="宋体" w:cstheme="minorBidi"/>
          <w:b w:val="0"/>
          <w:bCs w:val="0"/>
          <w:smallCaps w:val="0"/>
          <w:kern w:val="2"/>
          <w:sz w:val="24"/>
          <w:szCs w:val="22"/>
          <w:lang w:val="en-US" w:eastAsia="zh-CN" w:bidi="ar-SA"/>
        </w:rPr>
        <w:t>、</w:t>
      </w:r>
      <w:r>
        <w:rPr>
          <w:rFonts w:hint="default" w:ascii="Times New Roman" w:hAnsi="Times New Roman" w:eastAsia="宋体" w:cstheme="minorBidi"/>
          <w:b w:val="0"/>
          <w:bCs w:val="0"/>
          <w:smallCaps w:val="0"/>
          <w:kern w:val="2"/>
          <w:sz w:val="24"/>
          <w:szCs w:val="22"/>
          <w:lang w:val="en-US" w:eastAsia="zh-CN" w:bidi="ar-SA"/>
        </w:rPr>
        <w:t>己二酸、己内酰胺的氧化亚氮排放情况提出了采取连续在线监测的要求。</w:t>
      </w:r>
    </w:p>
    <w:p w14:paraId="790741C5">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ind w:leftChars="0" w:firstLine="480" w:firstLineChars="200"/>
        <w:textAlignment w:val="auto"/>
      </w:pPr>
      <w:r>
        <w:rPr>
          <w:rFonts w:hint="default" w:ascii="Times New Roman" w:hAnsi="Times New Roman" w:eastAsia="宋体" w:cstheme="minorBidi"/>
          <w:b w:val="0"/>
          <w:bCs w:val="0"/>
          <w:smallCaps w:val="0"/>
          <w:kern w:val="2"/>
          <w:sz w:val="24"/>
          <w:szCs w:val="22"/>
          <w:lang w:val="en-US" w:eastAsia="zh-CN" w:bidi="ar-SA"/>
        </w:rPr>
        <w:t>美国通过温室气体报告计划对硝酸、己二酸、己内酰胺的氧化亚氮排放提出了计算与报告要求，但未提出氧化亚氮尾气的排放水平要求。</w:t>
      </w:r>
    </w:p>
    <w:p w14:paraId="2CA4981B">
      <w:pPr>
        <w:pStyle w:val="3"/>
        <w:spacing w:before="156" w:after="156"/>
      </w:pPr>
      <w:r>
        <w:rPr>
          <w:rFonts w:hint="eastAsia"/>
        </w:rPr>
        <w:t>与现行法律、法规和强制性标准的关系</w:t>
      </w:r>
    </w:p>
    <w:p w14:paraId="416C16FB">
      <w:pPr>
        <w:pStyle w:val="19"/>
        <w:ind w:firstLine="480"/>
      </w:pPr>
      <w:r>
        <w:rPr>
          <w:rFonts w:hint="eastAsia"/>
        </w:rPr>
        <w:t>至标准编制之日尚未发现与计划编制标准相冲突的现行法律、法规和强制性国家标准。</w:t>
      </w:r>
    </w:p>
    <w:p w14:paraId="6ABA667C">
      <w:pPr>
        <w:pStyle w:val="3"/>
        <w:spacing w:before="156" w:after="156"/>
      </w:pPr>
      <w:r>
        <w:rPr>
          <w:rFonts w:hint="eastAsia"/>
        </w:rPr>
        <w:t>重大分歧意见的处理</w:t>
      </w:r>
    </w:p>
    <w:p w14:paraId="0BFA91F2">
      <w:pPr>
        <w:pStyle w:val="19"/>
        <w:ind w:firstLine="480"/>
      </w:pPr>
      <w:r>
        <w:rPr>
          <w:rFonts w:hint="eastAsia"/>
        </w:rPr>
        <w:t>暂无。</w:t>
      </w:r>
    </w:p>
    <w:p w14:paraId="26BD9DCC">
      <w:pPr>
        <w:pStyle w:val="3"/>
        <w:spacing w:before="156" w:after="156"/>
      </w:pPr>
      <w:r>
        <w:rPr>
          <w:rFonts w:hint="eastAsia"/>
        </w:rPr>
        <w:t>其他应予以说明的事项</w:t>
      </w:r>
    </w:p>
    <w:p w14:paraId="5481464C">
      <w:pPr>
        <w:pStyle w:val="19"/>
        <w:ind w:firstLine="480"/>
      </w:pPr>
      <w:r>
        <w:rPr>
          <w:rFonts w:hint="eastAsia"/>
        </w:rPr>
        <w:t>暂无。</w:t>
      </w:r>
    </w:p>
    <w:p w14:paraId="6C275F32">
      <w:pPr>
        <w:pStyle w:val="19"/>
        <w:ind w:firstLine="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黑体">
    <w:panose1 w:val="02000500000000000000"/>
    <w:charset w:val="86"/>
    <w:family w:val="auto"/>
    <w:pitch w:val="default"/>
    <w:sig w:usb0="A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C45CD"/>
    <w:multiLevelType w:val="multilevel"/>
    <w:tmpl w:val="4CEC45CD"/>
    <w:lvl w:ilvl="0" w:tentative="0">
      <w:start w:val="1"/>
      <w:numFmt w:val="decimal"/>
      <w:pStyle w:val="3"/>
      <w:lvlText w:val="%1"/>
      <w:lvlJc w:val="left"/>
      <w:pPr>
        <w:tabs>
          <w:tab w:val="left" w:pos="454"/>
        </w:tabs>
        <w:ind w:left="0" w:firstLine="0"/>
      </w:pPr>
      <w:rPr>
        <w:rFonts w:hint="eastAsia"/>
      </w:rPr>
    </w:lvl>
    <w:lvl w:ilvl="1" w:tentative="0">
      <w:start w:val="1"/>
      <w:numFmt w:val="decimal"/>
      <w:pStyle w:val="4"/>
      <w:lvlText w:val="%1.%2"/>
      <w:lvlJc w:val="left"/>
      <w:pPr>
        <w:tabs>
          <w:tab w:val="left" w:pos="0"/>
        </w:tabs>
        <w:ind w:left="0" w:firstLine="0"/>
      </w:pPr>
      <w:rPr>
        <w:rFonts w:hint="eastAsia"/>
      </w:rPr>
    </w:lvl>
    <w:lvl w:ilvl="2" w:tentative="0">
      <w:start w:val="1"/>
      <w:numFmt w:val="decimal"/>
      <w:pStyle w:val="5"/>
      <w:lvlText w:val="%1.%2.%3"/>
      <w:lvlJc w:val="left"/>
      <w:pPr>
        <w:tabs>
          <w:tab w:val="left" w:pos="720"/>
        </w:tabs>
        <w:ind w:left="720" w:hanging="720"/>
      </w:pPr>
      <w:rPr>
        <w:rFonts w:hint="default" w:ascii="Times New Roman" w:hAnsi="Times New Roman" w:cs="Times New Roman"/>
      </w:rPr>
    </w:lvl>
    <w:lvl w:ilvl="3" w:tentative="0">
      <w:start w:val="1"/>
      <w:numFmt w:val="decimal"/>
      <w:pStyle w:val="6"/>
      <w:lvlText w:val="%1.%2.%3.%4"/>
      <w:lvlJc w:val="left"/>
      <w:pPr>
        <w:tabs>
          <w:tab w:val="left" w:pos="864"/>
        </w:tabs>
        <w:ind w:left="864" w:hanging="864"/>
      </w:pPr>
      <w:rPr>
        <w:rFonts w:hint="default"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5MDc5ODI1MzhiMWIxYWNkZTEzNzJjYjBkZjQwZDgifQ=="/>
  </w:docVars>
  <w:rsids>
    <w:rsidRoot w:val="0083461B"/>
    <w:rsid w:val="000102FF"/>
    <w:rsid w:val="00010BB1"/>
    <w:rsid w:val="00014BF8"/>
    <w:rsid w:val="00015558"/>
    <w:rsid w:val="000317D1"/>
    <w:rsid w:val="00035385"/>
    <w:rsid w:val="00036993"/>
    <w:rsid w:val="00057B80"/>
    <w:rsid w:val="0006001F"/>
    <w:rsid w:val="00063FD1"/>
    <w:rsid w:val="00073B27"/>
    <w:rsid w:val="00073EEA"/>
    <w:rsid w:val="00074E10"/>
    <w:rsid w:val="00084E9D"/>
    <w:rsid w:val="00092D8B"/>
    <w:rsid w:val="0009408D"/>
    <w:rsid w:val="000B2760"/>
    <w:rsid w:val="000C1842"/>
    <w:rsid w:val="000D0CC9"/>
    <w:rsid w:val="000E7171"/>
    <w:rsid w:val="0010686D"/>
    <w:rsid w:val="00106B61"/>
    <w:rsid w:val="001137FB"/>
    <w:rsid w:val="00115DFB"/>
    <w:rsid w:val="00123257"/>
    <w:rsid w:val="00123E15"/>
    <w:rsid w:val="001241D5"/>
    <w:rsid w:val="00127349"/>
    <w:rsid w:val="001316B4"/>
    <w:rsid w:val="00147981"/>
    <w:rsid w:val="00166DB6"/>
    <w:rsid w:val="001814AE"/>
    <w:rsid w:val="00184405"/>
    <w:rsid w:val="00191B32"/>
    <w:rsid w:val="001A3DBC"/>
    <w:rsid w:val="001C718F"/>
    <w:rsid w:val="001D5B78"/>
    <w:rsid w:val="00201AE1"/>
    <w:rsid w:val="002021EF"/>
    <w:rsid w:val="002104E3"/>
    <w:rsid w:val="002138EE"/>
    <w:rsid w:val="002262B1"/>
    <w:rsid w:val="002311B8"/>
    <w:rsid w:val="002441D3"/>
    <w:rsid w:val="00244D36"/>
    <w:rsid w:val="00252CBD"/>
    <w:rsid w:val="002610B2"/>
    <w:rsid w:val="00264B3F"/>
    <w:rsid w:val="00267211"/>
    <w:rsid w:val="00276B38"/>
    <w:rsid w:val="00282779"/>
    <w:rsid w:val="002879B5"/>
    <w:rsid w:val="00294D3D"/>
    <w:rsid w:val="0029572C"/>
    <w:rsid w:val="002A26BE"/>
    <w:rsid w:val="002B2DF9"/>
    <w:rsid w:val="002B51F2"/>
    <w:rsid w:val="002B68F2"/>
    <w:rsid w:val="002E051C"/>
    <w:rsid w:val="002E0EFF"/>
    <w:rsid w:val="002E11D1"/>
    <w:rsid w:val="002F051E"/>
    <w:rsid w:val="0030315B"/>
    <w:rsid w:val="00305245"/>
    <w:rsid w:val="003072C9"/>
    <w:rsid w:val="00313785"/>
    <w:rsid w:val="00320460"/>
    <w:rsid w:val="0032259A"/>
    <w:rsid w:val="00324C1F"/>
    <w:rsid w:val="00341702"/>
    <w:rsid w:val="00347539"/>
    <w:rsid w:val="00361890"/>
    <w:rsid w:val="00365FC3"/>
    <w:rsid w:val="00373EBB"/>
    <w:rsid w:val="00393506"/>
    <w:rsid w:val="003A0025"/>
    <w:rsid w:val="003B2057"/>
    <w:rsid w:val="003B3117"/>
    <w:rsid w:val="003C63C9"/>
    <w:rsid w:val="003D6540"/>
    <w:rsid w:val="003E4DFB"/>
    <w:rsid w:val="003F770C"/>
    <w:rsid w:val="00403584"/>
    <w:rsid w:val="00404FCA"/>
    <w:rsid w:val="004072F4"/>
    <w:rsid w:val="00407307"/>
    <w:rsid w:val="00413A81"/>
    <w:rsid w:val="00426503"/>
    <w:rsid w:val="004271E1"/>
    <w:rsid w:val="00436083"/>
    <w:rsid w:val="004449ED"/>
    <w:rsid w:val="00444F76"/>
    <w:rsid w:val="00453FA1"/>
    <w:rsid w:val="004561FA"/>
    <w:rsid w:val="00457BCC"/>
    <w:rsid w:val="0046635E"/>
    <w:rsid w:val="00490512"/>
    <w:rsid w:val="0049298C"/>
    <w:rsid w:val="004A1624"/>
    <w:rsid w:val="004A68AD"/>
    <w:rsid w:val="004B43AA"/>
    <w:rsid w:val="004B6314"/>
    <w:rsid w:val="004C4694"/>
    <w:rsid w:val="004C476D"/>
    <w:rsid w:val="004D19FB"/>
    <w:rsid w:val="004D7DCC"/>
    <w:rsid w:val="004E12AC"/>
    <w:rsid w:val="004F7E14"/>
    <w:rsid w:val="00504296"/>
    <w:rsid w:val="00514BD3"/>
    <w:rsid w:val="00517531"/>
    <w:rsid w:val="00527DB4"/>
    <w:rsid w:val="00530211"/>
    <w:rsid w:val="0054299C"/>
    <w:rsid w:val="00552B54"/>
    <w:rsid w:val="0055450D"/>
    <w:rsid w:val="0055662D"/>
    <w:rsid w:val="00561C66"/>
    <w:rsid w:val="00563F33"/>
    <w:rsid w:val="0057054B"/>
    <w:rsid w:val="0057073B"/>
    <w:rsid w:val="005723FE"/>
    <w:rsid w:val="00575567"/>
    <w:rsid w:val="00593226"/>
    <w:rsid w:val="00593CB4"/>
    <w:rsid w:val="00594712"/>
    <w:rsid w:val="00594D75"/>
    <w:rsid w:val="0059653B"/>
    <w:rsid w:val="005B6F88"/>
    <w:rsid w:val="005F2894"/>
    <w:rsid w:val="00612B80"/>
    <w:rsid w:val="006157F5"/>
    <w:rsid w:val="0062065E"/>
    <w:rsid w:val="0062602B"/>
    <w:rsid w:val="006314DC"/>
    <w:rsid w:val="00632DDF"/>
    <w:rsid w:val="00633BF5"/>
    <w:rsid w:val="00642D34"/>
    <w:rsid w:val="00643635"/>
    <w:rsid w:val="00666D2F"/>
    <w:rsid w:val="006676CB"/>
    <w:rsid w:val="006750D7"/>
    <w:rsid w:val="00680E61"/>
    <w:rsid w:val="006A051A"/>
    <w:rsid w:val="006A4421"/>
    <w:rsid w:val="006B0809"/>
    <w:rsid w:val="006B603A"/>
    <w:rsid w:val="006C2B36"/>
    <w:rsid w:val="006D221E"/>
    <w:rsid w:val="006D2620"/>
    <w:rsid w:val="006D49B3"/>
    <w:rsid w:val="006D5218"/>
    <w:rsid w:val="006E2527"/>
    <w:rsid w:val="006F0DBF"/>
    <w:rsid w:val="00702A6A"/>
    <w:rsid w:val="00712E53"/>
    <w:rsid w:val="00713B5F"/>
    <w:rsid w:val="00724070"/>
    <w:rsid w:val="00725EFC"/>
    <w:rsid w:val="00735C05"/>
    <w:rsid w:val="00737AEF"/>
    <w:rsid w:val="00755A0B"/>
    <w:rsid w:val="007618F5"/>
    <w:rsid w:val="007648A1"/>
    <w:rsid w:val="00775D0B"/>
    <w:rsid w:val="00781C63"/>
    <w:rsid w:val="0079046B"/>
    <w:rsid w:val="0079392D"/>
    <w:rsid w:val="007A1247"/>
    <w:rsid w:val="007B5E13"/>
    <w:rsid w:val="007C061F"/>
    <w:rsid w:val="007C2423"/>
    <w:rsid w:val="007C3CE1"/>
    <w:rsid w:val="007E5532"/>
    <w:rsid w:val="007F08E2"/>
    <w:rsid w:val="007F5A0E"/>
    <w:rsid w:val="00814289"/>
    <w:rsid w:val="00826907"/>
    <w:rsid w:val="0082738F"/>
    <w:rsid w:val="00831876"/>
    <w:rsid w:val="0083461B"/>
    <w:rsid w:val="00836563"/>
    <w:rsid w:val="008425CF"/>
    <w:rsid w:val="00843BDD"/>
    <w:rsid w:val="00847133"/>
    <w:rsid w:val="00862655"/>
    <w:rsid w:val="00881553"/>
    <w:rsid w:val="00883A91"/>
    <w:rsid w:val="00885991"/>
    <w:rsid w:val="00887B51"/>
    <w:rsid w:val="008A2AA5"/>
    <w:rsid w:val="008C3B4A"/>
    <w:rsid w:val="008C739D"/>
    <w:rsid w:val="008F072B"/>
    <w:rsid w:val="00906207"/>
    <w:rsid w:val="00912200"/>
    <w:rsid w:val="0091612F"/>
    <w:rsid w:val="00917059"/>
    <w:rsid w:val="00917B70"/>
    <w:rsid w:val="009276E3"/>
    <w:rsid w:val="009351D8"/>
    <w:rsid w:val="0093691A"/>
    <w:rsid w:val="009500A6"/>
    <w:rsid w:val="00965A1C"/>
    <w:rsid w:val="00984056"/>
    <w:rsid w:val="0099132A"/>
    <w:rsid w:val="009974A2"/>
    <w:rsid w:val="009A19AC"/>
    <w:rsid w:val="009B28C3"/>
    <w:rsid w:val="009C5536"/>
    <w:rsid w:val="009C7BBB"/>
    <w:rsid w:val="009D5B3A"/>
    <w:rsid w:val="009E5A47"/>
    <w:rsid w:val="00A060B9"/>
    <w:rsid w:val="00A11894"/>
    <w:rsid w:val="00A22102"/>
    <w:rsid w:val="00A3561C"/>
    <w:rsid w:val="00A611EE"/>
    <w:rsid w:val="00A65C00"/>
    <w:rsid w:val="00A76B05"/>
    <w:rsid w:val="00A919C6"/>
    <w:rsid w:val="00AB10DB"/>
    <w:rsid w:val="00AB3DF3"/>
    <w:rsid w:val="00AD0124"/>
    <w:rsid w:val="00AE6819"/>
    <w:rsid w:val="00AF2ECD"/>
    <w:rsid w:val="00B23475"/>
    <w:rsid w:val="00B26AAA"/>
    <w:rsid w:val="00B333DF"/>
    <w:rsid w:val="00B36014"/>
    <w:rsid w:val="00B534A2"/>
    <w:rsid w:val="00B638FA"/>
    <w:rsid w:val="00B66DE5"/>
    <w:rsid w:val="00B71F00"/>
    <w:rsid w:val="00B731ED"/>
    <w:rsid w:val="00B7565B"/>
    <w:rsid w:val="00B80028"/>
    <w:rsid w:val="00B80113"/>
    <w:rsid w:val="00B840BD"/>
    <w:rsid w:val="00BA7261"/>
    <w:rsid w:val="00BB5511"/>
    <w:rsid w:val="00BF45DC"/>
    <w:rsid w:val="00BF46D1"/>
    <w:rsid w:val="00BF7C75"/>
    <w:rsid w:val="00C106A5"/>
    <w:rsid w:val="00C121A4"/>
    <w:rsid w:val="00C12BF7"/>
    <w:rsid w:val="00C416B3"/>
    <w:rsid w:val="00C73EBA"/>
    <w:rsid w:val="00C85FE8"/>
    <w:rsid w:val="00C927AE"/>
    <w:rsid w:val="00CA24D6"/>
    <w:rsid w:val="00CA7B06"/>
    <w:rsid w:val="00CB36C4"/>
    <w:rsid w:val="00CB7FE0"/>
    <w:rsid w:val="00CC3F50"/>
    <w:rsid w:val="00CC4A96"/>
    <w:rsid w:val="00CC73A1"/>
    <w:rsid w:val="00CD5222"/>
    <w:rsid w:val="00CE0BB8"/>
    <w:rsid w:val="00CE1FB9"/>
    <w:rsid w:val="00CE2C16"/>
    <w:rsid w:val="00CE3B0D"/>
    <w:rsid w:val="00CF0EF1"/>
    <w:rsid w:val="00CF5401"/>
    <w:rsid w:val="00CF7409"/>
    <w:rsid w:val="00D1569D"/>
    <w:rsid w:val="00D174C6"/>
    <w:rsid w:val="00D24FF0"/>
    <w:rsid w:val="00D32B57"/>
    <w:rsid w:val="00D420A6"/>
    <w:rsid w:val="00D47A47"/>
    <w:rsid w:val="00D522EC"/>
    <w:rsid w:val="00D60CB7"/>
    <w:rsid w:val="00D6340C"/>
    <w:rsid w:val="00D82F36"/>
    <w:rsid w:val="00D9109E"/>
    <w:rsid w:val="00D93024"/>
    <w:rsid w:val="00D9551C"/>
    <w:rsid w:val="00DB3F6C"/>
    <w:rsid w:val="00DB5146"/>
    <w:rsid w:val="00DC065C"/>
    <w:rsid w:val="00DD055C"/>
    <w:rsid w:val="00DE767A"/>
    <w:rsid w:val="00DF19DC"/>
    <w:rsid w:val="00E053A2"/>
    <w:rsid w:val="00E05715"/>
    <w:rsid w:val="00E15234"/>
    <w:rsid w:val="00E27ECF"/>
    <w:rsid w:val="00E33823"/>
    <w:rsid w:val="00E47360"/>
    <w:rsid w:val="00E54940"/>
    <w:rsid w:val="00E56389"/>
    <w:rsid w:val="00E56CBF"/>
    <w:rsid w:val="00E6454F"/>
    <w:rsid w:val="00E64BDA"/>
    <w:rsid w:val="00E66862"/>
    <w:rsid w:val="00E741B7"/>
    <w:rsid w:val="00E774AE"/>
    <w:rsid w:val="00E93B49"/>
    <w:rsid w:val="00EC403A"/>
    <w:rsid w:val="00ED3091"/>
    <w:rsid w:val="00EF0259"/>
    <w:rsid w:val="00EF12BA"/>
    <w:rsid w:val="00EF40A0"/>
    <w:rsid w:val="00EF57AB"/>
    <w:rsid w:val="00EF595E"/>
    <w:rsid w:val="00F05C9D"/>
    <w:rsid w:val="00F21F15"/>
    <w:rsid w:val="00F23F68"/>
    <w:rsid w:val="00F244BD"/>
    <w:rsid w:val="00F27C22"/>
    <w:rsid w:val="00F462A7"/>
    <w:rsid w:val="00F508E0"/>
    <w:rsid w:val="00F61146"/>
    <w:rsid w:val="00F61695"/>
    <w:rsid w:val="00F6404D"/>
    <w:rsid w:val="00F64D01"/>
    <w:rsid w:val="00F70FEA"/>
    <w:rsid w:val="00F74E58"/>
    <w:rsid w:val="00F80B5E"/>
    <w:rsid w:val="00FA1F26"/>
    <w:rsid w:val="00FA5454"/>
    <w:rsid w:val="00FB7C20"/>
    <w:rsid w:val="00FD27E6"/>
    <w:rsid w:val="00FD5A9C"/>
    <w:rsid w:val="00FE0AC7"/>
    <w:rsid w:val="00FE7A62"/>
    <w:rsid w:val="00FF1A20"/>
    <w:rsid w:val="00FF44AE"/>
    <w:rsid w:val="00FF54F7"/>
    <w:rsid w:val="01396E1E"/>
    <w:rsid w:val="015C4382"/>
    <w:rsid w:val="026C3CC1"/>
    <w:rsid w:val="04F77B58"/>
    <w:rsid w:val="059E7B97"/>
    <w:rsid w:val="085F196E"/>
    <w:rsid w:val="097C2B89"/>
    <w:rsid w:val="09B71227"/>
    <w:rsid w:val="11CB522D"/>
    <w:rsid w:val="1466786F"/>
    <w:rsid w:val="154D47EE"/>
    <w:rsid w:val="155901F1"/>
    <w:rsid w:val="15916DD0"/>
    <w:rsid w:val="178070FD"/>
    <w:rsid w:val="1844637C"/>
    <w:rsid w:val="18534811"/>
    <w:rsid w:val="1A2C531A"/>
    <w:rsid w:val="1BE7599C"/>
    <w:rsid w:val="1C1A7BFE"/>
    <w:rsid w:val="1C1C2E37"/>
    <w:rsid w:val="1D6F5C49"/>
    <w:rsid w:val="1E1E141D"/>
    <w:rsid w:val="1E472722"/>
    <w:rsid w:val="1E8219AC"/>
    <w:rsid w:val="1F2A03EB"/>
    <w:rsid w:val="1F464788"/>
    <w:rsid w:val="22BC263E"/>
    <w:rsid w:val="239D2DE4"/>
    <w:rsid w:val="24F904EE"/>
    <w:rsid w:val="24FA6740"/>
    <w:rsid w:val="25B54415"/>
    <w:rsid w:val="267E6EFD"/>
    <w:rsid w:val="27675BE3"/>
    <w:rsid w:val="27DA3386"/>
    <w:rsid w:val="28F72F97"/>
    <w:rsid w:val="2AAB5B7C"/>
    <w:rsid w:val="2AAF1D7B"/>
    <w:rsid w:val="2C363DD6"/>
    <w:rsid w:val="2C4468DD"/>
    <w:rsid w:val="2F994DA8"/>
    <w:rsid w:val="304271ED"/>
    <w:rsid w:val="31C4105A"/>
    <w:rsid w:val="33185FE3"/>
    <w:rsid w:val="33ED6D95"/>
    <w:rsid w:val="33F702EF"/>
    <w:rsid w:val="35357321"/>
    <w:rsid w:val="3A553CD1"/>
    <w:rsid w:val="3ACD6C2A"/>
    <w:rsid w:val="3AEF3ACE"/>
    <w:rsid w:val="3CA63395"/>
    <w:rsid w:val="3D0870C9"/>
    <w:rsid w:val="3DB80AEF"/>
    <w:rsid w:val="3E350391"/>
    <w:rsid w:val="3E8D1F7B"/>
    <w:rsid w:val="3F11495A"/>
    <w:rsid w:val="3F165ACD"/>
    <w:rsid w:val="3F1E7077"/>
    <w:rsid w:val="40316936"/>
    <w:rsid w:val="408D0011"/>
    <w:rsid w:val="40CB6D8B"/>
    <w:rsid w:val="41A73354"/>
    <w:rsid w:val="44113A10"/>
    <w:rsid w:val="458F0387"/>
    <w:rsid w:val="461807D7"/>
    <w:rsid w:val="464A0752"/>
    <w:rsid w:val="47AA594C"/>
    <w:rsid w:val="48287F2D"/>
    <w:rsid w:val="48D9333D"/>
    <w:rsid w:val="4961028C"/>
    <w:rsid w:val="4A0A0924"/>
    <w:rsid w:val="4BED22AB"/>
    <w:rsid w:val="4C856040"/>
    <w:rsid w:val="4D7D31BB"/>
    <w:rsid w:val="4E1C6E78"/>
    <w:rsid w:val="4F4C72E9"/>
    <w:rsid w:val="4F7D74A2"/>
    <w:rsid w:val="531445C2"/>
    <w:rsid w:val="55A718AE"/>
    <w:rsid w:val="55CC1183"/>
    <w:rsid w:val="563F1955"/>
    <w:rsid w:val="571928FF"/>
    <w:rsid w:val="575256B8"/>
    <w:rsid w:val="578233B9"/>
    <w:rsid w:val="586C511D"/>
    <w:rsid w:val="5952374E"/>
    <w:rsid w:val="5A07278A"/>
    <w:rsid w:val="5AD40906"/>
    <w:rsid w:val="5AD84127"/>
    <w:rsid w:val="5B795E92"/>
    <w:rsid w:val="5BEE0351"/>
    <w:rsid w:val="5CD526CC"/>
    <w:rsid w:val="5CE16E2F"/>
    <w:rsid w:val="5CFA65D6"/>
    <w:rsid w:val="5E532442"/>
    <w:rsid w:val="5F3D27AA"/>
    <w:rsid w:val="5FBB3BA5"/>
    <w:rsid w:val="63097573"/>
    <w:rsid w:val="63F07540"/>
    <w:rsid w:val="669A48EB"/>
    <w:rsid w:val="669C425A"/>
    <w:rsid w:val="68BE2BAE"/>
    <w:rsid w:val="69C441F4"/>
    <w:rsid w:val="69D63F27"/>
    <w:rsid w:val="6DB63E53"/>
    <w:rsid w:val="6EB1286D"/>
    <w:rsid w:val="6EF575BD"/>
    <w:rsid w:val="71D13F21"/>
    <w:rsid w:val="728E539F"/>
    <w:rsid w:val="756E1C38"/>
    <w:rsid w:val="7A0D129F"/>
    <w:rsid w:val="7A4153ED"/>
    <w:rsid w:val="7C6D4277"/>
    <w:rsid w:val="7D2C5EE0"/>
    <w:rsid w:val="7EE8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0"/>
    <w:pPr>
      <w:keepNext/>
      <w:keepLines/>
      <w:numPr>
        <w:ilvl w:val="0"/>
        <w:numId w:val="1"/>
      </w:numPr>
      <w:spacing w:before="50" w:beforeLines="50" w:after="50" w:afterLines="50" w:line="360" w:lineRule="auto"/>
      <w:outlineLvl w:val="0"/>
    </w:pPr>
    <w:rPr>
      <w:rFonts w:ascii="Times New Roman" w:hAnsi="Times New Roman" w:eastAsia="楷体_GB2312" w:cs="Times New Roman"/>
      <w:b/>
      <w:kern w:val="44"/>
      <w:sz w:val="44"/>
      <w:szCs w:val="21"/>
    </w:rPr>
  </w:style>
  <w:style w:type="paragraph" w:styleId="4">
    <w:name w:val="heading 2"/>
    <w:basedOn w:val="1"/>
    <w:next w:val="1"/>
    <w:link w:val="38"/>
    <w:qFormat/>
    <w:uiPriority w:val="0"/>
    <w:pPr>
      <w:keepNext/>
      <w:keepLines/>
      <w:numPr>
        <w:ilvl w:val="1"/>
        <w:numId w:val="1"/>
      </w:numPr>
      <w:tabs>
        <w:tab w:val="left" w:pos="454"/>
      </w:tabs>
      <w:spacing w:before="50" w:beforeLines="50" w:after="50" w:afterLines="50" w:line="360" w:lineRule="auto"/>
      <w:jc w:val="left"/>
      <w:outlineLvl w:val="1"/>
    </w:pPr>
    <w:rPr>
      <w:rFonts w:ascii="Times New Roman" w:hAnsi="Times New Roman" w:eastAsia="楷体_GB2312" w:cs="Times New Roman"/>
      <w:b/>
      <w:bCs/>
      <w:smallCaps/>
      <w:sz w:val="36"/>
      <w:szCs w:val="28"/>
    </w:rPr>
  </w:style>
  <w:style w:type="paragraph" w:styleId="5">
    <w:name w:val="heading 3"/>
    <w:basedOn w:val="1"/>
    <w:next w:val="1"/>
    <w:link w:val="39"/>
    <w:qFormat/>
    <w:uiPriority w:val="0"/>
    <w:pPr>
      <w:keepNext/>
      <w:keepLines/>
      <w:numPr>
        <w:ilvl w:val="2"/>
        <w:numId w:val="1"/>
      </w:numPr>
      <w:tabs>
        <w:tab w:val="left" w:pos="454"/>
      </w:tabs>
      <w:spacing w:before="50" w:beforeLines="50" w:after="50" w:afterLines="50" w:line="360" w:lineRule="auto"/>
      <w:outlineLvl w:val="2"/>
    </w:pPr>
    <w:rPr>
      <w:rFonts w:ascii="Times New Roman" w:hAnsi="Times New Roman" w:eastAsia="华文楷体" w:cs="Times New Roman"/>
      <w:b/>
      <w:bCs/>
      <w:sz w:val="32"/>
      <w:szCs w:val="21"/>
    </w:rPr>
  </w:style>
  <w:style w:type="paragraph" w:styleId="6">
    <w:name w:val="heading 4"/>
    <w:basedOn w:val="1"/>
    <w:next w:val="1"/>
    <w:link w:val="40"/>
    <w:qFormat/>
    <w:uiPriority w:val="0"/>
    <w:pPr>
      <w:numPr>
        <w:ilvl w:val="3"/>
        <w:numId w:val="1"/>
      </w:numPr>
      <w:tabs>
        <w:tab w:val="left" w:pos="454"/>
      </w:tabs>
      <w:adjustRightInd w:val="0"/>
      <w:spacing w:before="50" w:beforeLines="50" w:after="50" w:afterLines="50" w:line="360" w:lineRule="auto"/>
      <w:jc w:val="left"/>
      <w:textAlignment w:val="baseline"/>
      <w:outlineLvl w:val="3"/>
    </w:pPr>
    <w:rPr>
      <w:rFonts w:ascii="Times New Roman" w:hAnsi="Times New Roman" w:eastAsia="宋体" w:cs="Times New Roman"/>
      <w:b/>
      <w:bCs/>
      <w:smallCaps/>
      <w:sz w:val="28"/>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240" w:lineRule="auto"/>
      <w:jc w:val="both"/>
    </w:pPr>
    <w:rPr>
      <w:sz w:val="21"/>
      <w:szCs w:val="22"/>
    </w:rPr>
  </w:style>
  <w:style w:type="paragraph" w:styleId="7">
    <w:name w:val="caption"/>
    <w:basedOn w:val="1"/>
    <w:next w:val="1"/>
    <w:semiHidden/>
    <w:unhideWhenUsed/>
    <w:qFormat/>
    <w:uiPriority w:val="35"/>
    <w:rPr>
      <w:rFonts w:eastAsia="黑体" w:asciiTheme="majorHAnsi" w:hAnsiTheme="majorHAnsi" w:cstheme="majorBidi"/>
      <w:sz w:val="20"/>
      <w:szCs w:val="20"/>
    </w:rPr>
  </w:style>
  <w:style w:type="paragraph" w:styleId="8">
    <w:name w:val="annotation text"/>
    <w:basedOn w:val="1"/>
    <w:link w:val="43"/>
    <w:unhideWhenUsed/>
    <w:qFormat/>
    <w:uiPriority w:val="99"/>
    <w:pPr>
      <w:jc w:val="left"/>
    </w:pPr>
  </w:style>
  <w:style w:type="paragraph" w:styleId="9">
    <w:name w:val="Balloon Text"/>
    <w:basedOn w:val="1"/>
    <w:link w:val="45"/>
    <w:semiHidden/>
    <w:unhideWhenUsed/>
    <w:qFormat/>
    <w:uiPriority w:val="99"/>
    <w:rPr>
      <w:sz w:val="18"/>
      <w:szCs w:val="18"/>
    </w:rPr>
  </w:style>
  <w:style w:type="paragraph" w:styleId="10">
    <w:name w:val="footer"/>
    <w:basedOn w:val="1"/>
    <w:link w:val="33"/>
    <w:unhideWhenUsed/>
    <w:qFormat/>
    <w:uiPriority w:val="99"/>
    <w:pPr>
      <w:tabs>
        <w:tab w:val="center" w:pos="4153"/>
        <w:tab w:val="right" w:pos="8306"/>
      </w:tabs>
      <w:snapToGrid w:val="0"/>
      <w:jc w:val="left"/>
    </w:pPr>
    <w:rPr>
      <w:sz w:val="18"/>
      <w:szCs w:val="18"/>
    </w:rPr>
  </w:style>
  <w:style w:type="paragraph" w:styleId="11">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8"/>
    <w:next w:val="8"/>
    <w:link w:val="44"/>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basedOn w:val="15"/>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paragraph" w:customStyle="1" w:styleId="19">
    <w:name w:val="A-z正文"/>
    <w:basedOn w:val="1"/>
    <w:link w:val="20"/>
    <w:qFormat/>
    <w:uiPriority w:val="0"/>
    <w:pPr>
      <w:spacing w:line="360" w:lineRule="auto"/>
      <w:ind w:firstLine="200" w:firstLineChars="200"/>
    </w:pPr>
    <w:rPr>
      <w:rFonts w:ascii="Times New Roman" w:hAnsi="Times New Roman" w:eastAsia="宋体" w:cs="宋体"/>
      <w:sz w:val="24"/>
      <w:szCs w:val="20"/>
    </w:rPr>
  </w:style>
  <w:style w:type="character" w:customStyle="1" w:styleId="20">
    <w:name w:val="A-z正文 Char"/>
    <w:basedOn w:val="15"/>
    <w:link w:val="19"/>
    <w:qFormat/>
    <w:uiPriority w:val="0"/>
    <w:rPr>
      <w:rFonts w:ascii="Times New Roman" w:hAnsi="Times New Roman" w:eastAsia="宋体" w:cs="宋体"/>
      <w:sz w:val="24"/>
      <w:szCs w:val="20"/>
    </w:rPr>
  </w:style>
  <w:style w:type="table" w:customStyle="1" w:styleId="21">
    <w:name w:val="A-表格属性"/>
    <w:basedOn w:val="13"/>
    <w:qFormat/>
    <w:uiPriority w:val="99"/>
    <w:pPr>
      <w:jc w:val="center"/>
    </w:p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tblHeader/>
    </w:trPr>
    <w:tcPr>
      <w:vAlign w:val="center"/>
    </w:tcPr>
  </w:style>
  <w:style w:type="paragraph" w:customStyle="1" w:styleId="22">
    <w:name w:val="A-表格文字"/>
    <w:basedOn w:val="1"/>
    <w:next w:val="19"/>
    <w:link w:val="23"/>
    <w:qFormat/>
    <w:uiPriority w:val="0"/>
    <w:pPr>
      <w:autoSpaceDE w:val="0"/>
      <w:autoSpaceDN w:val="0"/>
      <w:adjustRightInd w:val="0"/>
      <w:jc w:val="center"/>
      <w:textAlignment w:val="center"/>
    </w:pPr>
    <w:rPr>
      <w:rFonts w:ascii="Times New Roman" w:hAnsi="Times New Roman" w:eastAsia="宋体" w:cs="Times New Roman"/>
      <w:kern w:val="0"/>
      <w:szCs w:val="21"/>
    </w:rPr>
  </w:style>
  <w:style w:type="character" w:customStyle="1" w:styleId="23">
    <w:name w:val="A-表格文字 Char"/>
    <w:basedOn w:val="15"/>
    <w:link w:val="22"/>
    <w:qFormat/>
    <w:uiPriority w:val="0"/>
    <w:rPr>
      <w:rFonts w:ascii="Times New Roman" w:hAnsi="Times New Roman" w:eastAsia="宋体" w:cs="Times New Roman"/>
      <w:kern w:val="0"/>
      <w:szCs w:val="21"/>
    </w:rPr>
  </w:style>
  <w:style w:type="paragraph" w:customStyle="1" w:styleId="24">
    <w:name w:val="A-题注-表"/>
    <w:basedOn w:val="7"/>
    <w:link w:val="25"/>
    <w:qFormat/>
    <w:uiPriority w:val="0"/>
    <w:pPr>
      <w:spacing w:before="50" w:beforeLines="50" w:line="360" w:lineRule="auto"/>
      <w:jc w:val="center"/>
    </w:pPr>
    <w:rPr>
      <w:rFonts w:ascii="Times New Roman" w:hAnsi="Times New Roman" w:eastAsia="宋体" w:cs="Arial"/>
      <w:b/>
      <w:sz w:val="21"/>
    </w:rPr>
  </w:style>
  <w:style w:type="character" w:customStyle="1" w:styleId="25">
    <w:name w:val="A-题注-表 Char"/>
    <w:basedOn w:val="15"/>
    <w:link w:val="24"/>
    <w:qFormat/>
    <w:uiPriority w:val="0"/>
    <w:rPr>
      <w:rFonts w:ascii="Times New Roman" w:hAnsi="Times New Roman" w:eastAsia="宋体" w:cs="Arial"/>
      <w:b/>
      <w:szCs w:val="20"/>
    </w:rPr>
  </w:style>
  <w:style w:type="paragraph" w:customStyle="1" w:styleId="26">
    <w:name w:val="A-题注-图"/>
    <w:basedOn w:val="24"/>
    <w:link w:val="27"/>
    <w:qFormat/>
    <w:uiPriority w:val="0"/>
    <w:pPr>
      <w:spacing w:before="0" w:beforeLines="0" w:after="50" w:afterLines="50"/>
    </w:pPr>
  </w:style>
  <w:style w:type="character" w:customStyle="1" w:styleId="27">
    <w:name w:val="A-题注-图 Char"/>
    <w:basedOn w:val="25"/>
    <w:link w:val="26"/>
    <w:qFormat/>
    <w:uiPriority w:val="0"/>
    <w:rPr>
      <w:rFonts w:ascii="Times New Roman" w:hAnsi="Times New Roman" w:eastAsia="宋体" w:cs="Arial"/>
      <w:szCs w:val="20"/>
    </w:rPr>
  </w:style>
  <w:style w:type="paragraph" w:customStyle="1" w:styleId="28">
    <w:name w:val="A-尾注"/>
    <w:basedOn w:val="19"/>
    <w:link w:val="29"/>
    <w:qFormat/>
    <w:uiPriority w:val="0"/>
    <w:pPr>
      <w:spacing w:line="240" w:lineRule="auto"/>
      <w:ind w:firstLine="0" w:firstLineChars="0"/>
      <w:jc w:val="left"/>
    </w:pPr>
    <w:rPr>
      <w:rFonts w:cs="Times New Roman"/>
      <w:sz w:val="18"/>
    </w:rPr>
  </w:style>
  <w:style w:type="character" w:customStyle="1" w:styleId="29">
    <w:name w:val="A-尾注 Char"/>
    <w:basedOn w:val="20"/>
    <w:link w:val="28"/>
    <w:qFormat/>
    <w:uiPriority w:val="0"/>
    <w:rPr>
      <w:rFonts w:ascii="Times New Roman" w:hAnsi="Times New Roman" w:eastAsia="宋体" w:cs="Times New Roman"/>
      <w:sz w:val="18"/>
      <w:szCs w:val="20"/>
    </w:rPr>
  </w:style>
  <w:style w:type="paragraph" w:customStyle="1" w:styleId="30">
    <w:name w:val="A-问题已解决"/>
    <w:basedOn w:val="1"/>
    <w:qFormat/>
    <w:uiPriority w:val="0"/>
    <w:pPr>
      <w:spacing w:line="360" w:lineRule="auto"/>
      <w:ind w:firstLine="444" w:firstLineChars="200"/>
    </w:pPr>
    <w:rPr>
      <w:rFonts w:ascii="宋体" w:hAnsi="Times New Roman" w:eastAsia="宋体" w:cs="宋体"/>
      <w:strike/>
      <w:szCs w:val="21"/>
    </w:rPr>
  </w:style>
  <w:style w:type="paragraph" w:customStyle="1" w:styleId="31">
    <w:name w:val="A-页脚"/>
    <w:basedOn w:val="10"/>
    <w:link w:val="32"/>
    <w:qFormat/>
    <w:uiPriority w:val="0"/>
    <w:pPr>
      <w:ind w:firstLine="480"/>
    </w:pPr>
    <w:rPr>
      <w:rFonts w:ascii="Times New Roman" w:hAnsi="Times New Roman" w:eastAsia="宋体" w:cs="Times New Roman"/>
    </w:rPr>
  </w:style>
  <w:style w:type="character" w:customStyle="1" w:styleId="32">
    <w:name w:val="A-页脚 Char"/>
    <w:basedOn w:val="15"/>
    <w:link w:val="31"/>
    <w:qFormat/>
    <w:uiPriority w:val="0"/>
    <w:rPr>
      <w:rFonts w:ascii="Times New Roman" w:hAnsi="Times New Roman" w:eastAsia="宋体" w:cs="Times New Roman"/>
      <w:sz w:val="18"/>
      <w:szCs w:val="18"/>
    </w:rPr>
  </w:style>
  <w:style w:type="character" w:customStyle="1" w:styleId="33">
    <w:name w:val="页脚 字符"/>
    <w:basedOn w:val="15"/>
    <w:link w:val="10"/>
    <w:qFormat/>
    <w:uiPriority w:val="99"/>
    <w:rPr>
      <w:sz w:val="18"/>
      <w:szCs w:val="18"/>
    </w:rPr>
  </w:style>
  <w:style w:type="paragraph" w:customStyle="1" w:styleId="34">
    <w:name w:val="A-页眉"/>
    <w:basedOn w:val="11"/>
    <w:link w:val="35"/>
    <w:qFormat/>
    <w:uiPriority w:val="0"/>
    <w:pPr>
      <w:ind w:firstLine="480"/>
    </w:pPr>
    <w:rPr>
      <w:rFonts w:ascii="Times New Roman" w:hAnsi="Times New Roman" w:eastAsia="宋体" w:cs="Times New Roman"/>
      <w:lang w:val="zh-CN"/>
    </w:rPr>
  </w:style>
  <w:style w:type="character" w:customStyle="1" w:styleId="35">
    <w:name w:val="A-页眉 Char"/>
    <w:basedOn w:val="15"/>
    <w:link w:val="34"/>
    <w:qFormat/>
    <w:uiPriority w:val="0"/>
    <w:rPr>
      <w:rFonts w:ascii="Times New Roman" w:hAnsi="Times New Roman" w:eastAsia="宋体" w:cs="Times New Roman"/>
      <w:sz w:val="18"/>
      <w:szCs w:val="18"/>
      <w:lang w:val="zh-CN"/>
    </w:rPr>
  </w:style>
  <w:style w:type="character" w:customStyle="1" w:styleId="36">
    <w:name w:val="页眉 字符"/>
    <w:basedOn w:val="15"/>
    <w:link w:val="11"/>
    <w:qFormat/>
    <w:uiPriority w:val="99"/>
    <w:rPr>
      <w:sz w:val="18"/>
      <w:szCs w:val="18"/>
    </w:rPr>
  </w:style>
  <w:style w:type="character" w:customStyle="1" w:styleId="37">
    <w:name w:val="标题 1 字符"/>
    <w:basedOn w:val="15"/>
    <w:link w:val="3"/>
    <w:qFormat/>
    <w:uiPriority w:val="0"/>
    <w:rPr>
      <w:rFonts w:ascii="Times New Roman" w:hAnsi="Times New Roman" w:eastAsia="楷体_GB2312" w:cs="Times New Roman"/>
      <w:b/>
      <w:kern w:val="44"/>
      <w:sz w:val="44"/>
      <w:szCs w:val="21"/>
    </w:rPr>
  </w:style>
  <w:style w:type="character" w:customStyle="1" w:styleId="38">
    <w:name w:val="标题 2 字符"/>
    <w:basedOn w:val="15"/>
    <w:link w:val="4"/>
    <w:qFormat/>
    <w:uiPriority w:val="0"/>
    <w:rPr>
      <w:rFonts w:ascii="Times New Roman" w:hAnsi="Times New Roman" w:eastAsia="楷体_GB2312" w:cs="Times New Roman"/>
      <w:b/>
      <w:bCs/>
      <w:smallCaps/>
      <w:sz w:val="36"/>
      <w:szCs w:val="28"/>
    </w:rPr>
  </w:style>
  <w:style w:type="character" w:customStyle="1" w:styleId="39">
    <w:name w:val="标题 3 字符"/>
    <w:basedOn w:val="15"/>
    <w:link w:val="5"/>
    <w:qFormat/>
    <w:uiPriority w:val="0"/>
    <w:rPr>
      <w:rFonts w:ascii="Times New Roman" w:hAnsi="Times New Roman" w:eastAsia="华文楷体" w:cs="Times New Roman"/>
      <w:b/>
      <w:bCs/>
      <w:sz w:val="32"/>
      <w:szCs w:val="21"/>
    </w:rPr>
  </w:style>
  <w:style w:type="character" w:customStyle="1" w:styleId="40">
    <w:name w:val="标题 4 字符"/>
    <w:basedOn w:val="15"/>
    <w:link w:val="6"/>
    <w:qFormat/>
    <w:uiPriority w:val="0"/>
    <w:rPr>
      <w:rFonts w:ascii="Times New Roman" w:hAnsi="Times New Roman" w:eastAsia="宋体" w:cs="Times New Roman"/>
      <w:b/>
      <w:bCs/>
      <w:smallCaps/>
      <w:sz w:val="28"/>
      <w:szCs w:val="24"/>
    </w:rPr>
  </w:style>
  <w:style w:type="paragraph" w:styleId="41">
    <w:name w:val="List Paragraph"/>
    <w:basedOn w:val="1"/>
    <w:qFormat/>
    <w:uiPriority w:val="34"/>
    <w:pPr>
      <w:ind w:firstLine="420" w:firstLineChars="200"/>
    </w:p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3">
    <w:name w:val="批注文字 字符"/>
    <w:basedOn w:val="15"/>
    <w:link w:val="8"/>
    <w:qFormat/>
    <w:uiPriority w:val="99"/>
  </w:style>
  <w:style w:type="character" w:customStyle="1" w:styleId="44">
    <w:name w:val="批注主题 字符"/>
    <w:basedOn w:val="43"/>
    <w:link w:val="12"/>
    <w:semiHidden/>
    <w:qFormat/>
    <w:uiPriority w:val="99"/>
    <w:rPr>
      <w:b/>
      <w:bCs/>
    </w:rPr>
  </w:style>
  <w:style w:type="character" w:customStyle="1" w:styleId="45">
    <w:name w:val="批注框文本 字符"/>
    <w:basedOn w:val="15"/>
    <w:link w:val="9"/>
    <w:semiHidden/>
    <w:qFormat/>
    <w:uiPriority w:val="99"/>
    <w:rPr>
      <w:kern w:val="2"/>
      <w:sz w:val="18"/>
      <w:szCs w:val="18"/>
    </w:rPr>
  </w:style>
  <w:style w:type="paragraph" w:customStyle="1" w:styleId="4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styleId="47">
    <w:name w:val="Placeholder Text"/>
    <w:basedOn w:val="15"/>
    <w:semiHidden/>
    <w:qFormat/>
    <w:uiPriority w:val="99"/>
    <w:rPr>
      <w:color w:val="808080"/>
    </w:rPr>
  </w:style>
  <w:style w:type="paragraph" w:customStyle="1" w:styleId="48">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标准文件_段"/>
    <w:qFormat/>
    <w:uiPriority w:val="99"/>
    <w:pPr>
      <w:widowControl w:val="0"/>
      <w:ind w:firstLine="198" w:firstLineChars="200"/>
      <w:jc w:val="both"/>
    </w:pPr>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ed689fc5-9128-4583-a154-59e9931ba0d1</errorID>
      <errorWord>明</errorWord>
      <group>L1_Word</group>
      <groupName>字词问题</groupName>
      <ability>L2_Typo</ability>
      <abilityName>字词错误</abilityName>
      <candidateList>
        <item>明了</item>
      </candidateList>
      <explain/>
      <paraID>33328640</paraID>
      <start>109</start>
      <end>110</end>
      <status>unmodified</status>
      <modifiedWord/>
      <trackRevisions>false</trackRevisions>
    </reviewItem>
    <reviewItem>
      <errorID>5ed142a7-a2d5-4d95-9818-bddc72f6258f</errorID>
      <errorWord>“双碳”战略</errorWord>
      <group>L1_Word</group>
      <groupName>字词问题</groupName>
      <ability>L2_Typo</ability>
      <abilityName>字词错误</abilityName>
      <candidateList>
        <item>“双碳”目标</item>
      </candidateList>
      <explain/>
      <paraID>33328640</paraID>
      <start>183</start>
      <end>189</end>
      <status>unmodified</status>
      <modifiedWord/>
      <trackRevisions>false</trackRevisions>
    </reviewItem>
    <reviewItem>
      <errorID>caedab6a-25d3-4603-82c5-4142019d646b</errorID>
      <errorWord>《工业氧化亚氮排放控制水平分级》（征求意见稿）</errorWord>
      <group>L1_Knowledge</group>
      <groupName>知识性问题</groupName>
      <ability>L2_Knowledge</ability>
      <abilityName>其他知识</abilityName>
      <candidateList>
        <item>《工业氧化亚氮排放控制水平分级（征求意见稿）》</item>
      </candidateList>
      <explain>疑似政策文件、法律法规名称等书写不规范，请注意检查。</explain>
      <paraID>30E67DAD</paraID>
      <start>79</start>
      <end>102</end>
      <status>unmodified</status>
      <modifiedWord/>
      <trackRevisions>false</trackRevisions>
    </reviewItem>
    <reviewItem>
      <errorID>7944271b-d9a6-4d42-abfb-a01a0036ced1</errorID>
      <errorWord>“双碳”战略</errorWord>
      <group>L1_Word</group>
      <groupName>字词问题</groupName>
      <ability>L2_Typo</ability>
      <abilityName>字词错误</abilityName>
      <candidateList>
        <item>“双碳”目标</item>
      </candidateList>
      <explain/>
      <paraID>31C35ADA</paraID>
      <start>220</start>
      <end>226</end>
      <status>unmodified</status>
      <modifiedWord/>
      <trackRevisions>false</trackRevisions>
    </reviewItem>
    <reviewItem>
      <errorID>a9c36cd7-3260-4538-a703-c426fec731ad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E84CF9B</paraID>
      <start>121</start>
      <end>122</end>
      <status>unmodified</status>
      <modifiedWord/>
      <trackRevisions>false</trackRevisions>
    </reviewItem>
    <reviewItem>
      <errorID>c5857b4e-a835-4a01-a176-fa20e27dd24d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E84CF9B</paraID>
      <start>175</start>
      <end>176</end>
      <status>unmodified</status>
      <modifiedWord/>
      <trackRevisions>false</trackRevisions>
    </reviewItem>
    <reviewItem>
      <errorID>afbe0092-1e8f-46d1-bbb5-076776f852f2</errorID>
      <errorWord>等省份</errorWord>
      <group>L1_Knowledge</group>
      <groupName>知识性问题</groupName>
      <ability>L2_Location</ability>
      <abilityName>地名检查</abilityName>
      <candidateList>
        <item>等省（区）</item>
      </candidateList>
      <explain>注意行政区划中是否包含自治区、直辖市、特别行政区。</explain>
      <paraID> E84CF9B</paraID>
      <start>344</start>
      <end>347</end>
      <status>unmodified</status>
      <modifiedWord/>
      <trackRevisions>false</trackRevisions>
    </reviewItem>
    <reviewItem>
      <errorID>46beb367-1de6-4fc2-af83-c73335ee5b51</errorID>
      <errorWord>等省份</errorWord>
      <group>L1_Knowledge</group>
      <groupName>知识性问题</groupName>
      <ability>L2_Location</ability>
      <abilityName>地名检查</abilityName>
      <candidateList>
        <item>等省（区）</item>
      </candidateList>
      <explain>注意行政区划中是否包含自治区、直辖市、特别行政区。</explain>
      <paraID>611F5489</paraID>
      <start>357</start>
      <end>360</end>
      <status>unmodified</status>
      <modifiedWord/>
      <trackRevisions>false</trackRevisions>
    </reviewItem>
    <reviewItem>
      <errorID>10504088-a398-4d08-a057-c0755363b5e5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3A4BE58F</paraID>
      <start>82</start>
      <end>83</end>
      <status>unmodified</status>
      <modifiedWord/>
      <trackRevisions>false</trackRevisions>
    </reviewItem>
    <reviewItem>
      <errorID>466b155c-68e6-4269-9a99-e6b5be51cfe7</errorID>
      <errorWord>法律、法规</errorWord>
      <group>L1_Word</group>
      <groupName>字词问题</groupName>
      <ability>L2_Typo</ability>
      <abilityName>字词错误</abilityName>
      <candidateList>
        <item>法律法规</item>
      </candidateList>
      <explain/>
      <paraID>2CA4981B</paraID>
      <start>3</start>
      <end>8</end>
      <status>unmodified</status>
      <modifiedWord/>
      <trackRevisions>false</trackRevisions>
    </reviewItem>
    <reviewItem>
      <errorID>13e87f16-cc9c-4eb9-935a-02219524ff3d</errorID>
      <errorWord>法律、法规</errorWord>
      <group>L1_Word</group>
      <groupName>字词问题</groupName>
      <ability>L2_Typo</ability>
      <abilityName>字词错误</abilityName>
      <candidateList>
        <item>法律法规</item>
      </candidateList>
      <explain/>
      <paraID>416C16FB</paraID>
      <start>24</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32f5b173-5341-42c7-a60f-5154bbe4132f}">
  <ds:schemaRefs/>
</ds:datastoreItem>
</file>

<file path=docProps/app.xml><?xml version="1.0" encoding="utf-8"?>
<Properties xmlns="http://schemas.openxmlformats.org/officeDocument/2006/extended-properties" xmlns:vt="http://schemas.openxmlformats.org/officeDocument/2006/docPropsVTypes">
  <Template>Normal</Template>
  <Pages>10</Pages>
  <Words>6123</Words>
  <Characters>6468</Characters>
  <Lines>125</Lines>
  <Paragraphs>336</Paragraphs>
  <TotalTime>7</TotalTime>
  <ScaleCrop>false</ScaleCrop>
  <LinksUpToDate>false</LinksUpToDate>
  <CharactersWithSpaces>6478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2022-10-11T04:56:00Z</dcterms:created>
  <dc:creator>张 岩</dc:creator>
  <cp:lastModifiedBy>156lld</cp:lastModifiedBy>
  <cp:lastPrinted>2022-10-11T04:58:00Z</cp:lastPrinted>
  <dcterms:modified xsi:type="dcterms:W3CDTF">2026-07-02T03:02:50Z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28D2299C490949C486F3D7CAEB39E3D7_13</vt:lpwstr>
  </property>
  <property fmtid="{D5CDD505-2E9C-101B-9397-08002B2CF9AE}" pid="4" name="KSOTemplateDocerSaveRecord">
    <vt:lpwstr>eyJoZGlkIjoiNTY5ODVkYzdhZWY0MDkxM2E3MTMyYzRmNDM1ZmU5MTAiLCJ1c2VySWQiOiIzMDYxMDE0NTkifQ==</vt:lpwstr>
  </property>
</Properties>
</file>