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839B4D">
      <w:pPr>
        <w:rPr>
          <w:rFonts w:ascii="Times New Roman" w:hAnsi="Times New Roman" w:eastAsia="黑体" w:cs="Times New Roman"/>
          <w:sz w:val="32"/>
          <w:szCs w:val="32"/>
        </w:rPr>
      </w:pPr>
    </w:p>
    <w:p w14:paraId="29E9AE78">
      <w:pPr>
        <w:rPr>
          <w:rFonts w:ascii="Times New Roman" w:hAnsi="Times New Roman" w:eastAsia="黑体" w:cs="Times New Roman"/>
          <w:sz w:val="32"/>
          <w:szCs w:val="32"/>
        </w:rPr>
      </w:pPr>
    </w:p>
    <w:p w14:paraId="04D6EEBD">
      <w:pPr>
        <w:rPr>
          <w:rFonts w:ascii="Times New Roman" w:hAnsi="Times New Roman" w:eastAsia="黑体" w:cs="Times New Roman"/>
          <w:sz w:val="32"/>
          <w:szCs w:val="32"/>
        </w:rPr>
      </w:pPr>
    </w:p>
    <w:p w14:paraId="44918487">
      <w:pPr>
        <w:rPr>
          <w:rFonts w:ascii="Times New Roman" w:hAnsi="Times New Roman" w:eastAsia="黑体" w:cs="Times New Roman"/>
          <w:sz w:val="32"/>
          <w:szCs w:val="32"/>
        </w:rPr>
      </w:pPr>
    </w:p>
    <w:p w14:paraId="1D960DE8">
      <w:pPr>
        <w:jc w:val="center"/>
        <w:rPr>
          <w:rFonts w:ascii="Times New Roman" w:hAnsi="Times New Roman" w:eastAsia="黑体" w:cs="Times New Roman"/>
          <w:sz w:val="32"/>
          <w:szCs w:val="32"/>
        </w:rPr>
      </w:pPr>
      <w:r>
        <w:rPr>
          <w:rFonts w:ascii="Times New Roman" w:hAnsi="Times New Roman" w:eastAsia="黑体" w:cs="Times New Roman"/>
          <w:sz w:val="32"/>
          <w:szCs w:val="32"/>
        </w:rPr>
        <w:t>中国化工节能技术协会团体标准</w:t>
      </w:r>
    </w:p>
    <w:p w14:paraId="20A02F1C">
      <w:pPr>
        <w:jc w:val="center"/>
        <w:rPr>
          <w:rFonts w:ascii="Times New Roman" w:hAnsi="Times New Roman" w:eastAsia="黑体" w:cs="Times New Roman"/>
          <w:sz w:val="32"/>
          <w:szCs w:val="32"/>
        </w:rPr>
      </w:pPr>
      <w:r>
        <w:rPr>
          <w:rFonts w:ascii="Times New Roman" w:hAnsi="Times New Roman" w:eastAsia="黑体" w:cs="Times New Roman"/>
          <w:sz w:val="32"/>
          <w:szCs w:val="32"/>
        </w:rPr>
        <w:t>《煤化工行业碳捕集项目评价指南》</w:t>
      </w:r>
    </w:p>
    <w:p w14:paraId="3C3C16FE">
      <w:pPr>
        <w:jc w:val="center"/>
        <w:rPr>
          <w:rFonts w:ascii="Times New Roman" w:hAnsi="Times New Roman" w:eastAsia="黑体" w:cs="Times New Roman"/>
          <w:sz w:val="32"/>
          <w:szCs w:val="32"/>
        </w:rPr>
      </w:pPr>
      <w:r>
        <w:rPr>
          <w:rFonts w:ascii="Times New Roman" w:hAnsi="Times New Roman" w:eastAsia="黑体" w:cs="Times New Roman"/>
          <w:sz w:val="32"/>
          <w:szCs w:val="32"/>
        </w:rPr>
        <w:t>（专家征集意见稿）</w:t>
      </w:r>
    </w:p>
    <w:p w14:paraId="684AF599">
      <w:pPr>
        <w:jc w:val="center"/>
        <w:rPr>
          <w:rFonts w:ascii="Times New Roman" w:hAnsi="Times New Roman" w:eastAsia="黑体" w:cs="Times New Roman"/>
          <w:sz w:val="32"/>
          <w:szCs w:val="32"/>
        </w:rPr>
      </w:pPr>
    </w:p>
    <w:p w14:paraId="1EBCDAEE">
      <w:pPr>
        <w:jc w:val="center"/>
        <w:rPr>
          <w:rFonts w:ascii="Times New Roman" w:hAnsi="Times New Roman" w:eastAsia="黑体" w:cs="Times New Roman"/>
          <w:sz w:val="32"/>
          <w:szCs w:val="32"/>
        </w:rPr>
      </w:pPr>
    </w:p>
    <w:p w14:paraId="4E27A8F6">
      <w:pPr>
        <w:jc w:val="center"/>
        <w:rPr>
          <w:rFonts w:ascii="Times New Roman" w:hAnsi="Times New Roman" w:eastAsia="黑体" w:cs="Times New Roman"/>
          <w:sz w:val="32"/>
          <w:szCs w:val="32"/>
        </w:rPr>
      </w:pPr>
    </w:p>
    <w:p w14:paraId="6289D0AA">
      <w:pPr>
        <w:jc w:val="center"/>
        <w:rPr>
          <w:rFonts w:ascii="Times New Roman" w:hAnsi="Times New Roman" w:eastAsia="黑体" w:cs="Times New Roman"/>
          <w:sz w:val="32"/>
          <w:szCs w:val="32"/>
        </w:rPr>
      </w:pPr>
      <w:r>
        <w:rPr>
          <w:rFonts w:ascii="Times New Roman" w:hAnsi="Times New Roman" w:eastAsia="黑体" w:cs="Times New Roman"/>
          <w:sz w:val="32"/>
          <w:szCs w:val="32"/>
        </w:rPr>
        <w:t>编制说明</w:t>
      </w:r>
    </w:p>
    <w:p w14:paraId="5C16E7CB">
      <w:pPr>
        <w:jc w:val="center"/>
        <w:rPr>
          <w:rFonts w:ascii="Times New Roman" w:hAnsi="Times New Roman" w:eastAsia="黑体" w:cs="Times New Roman"/>
          <w:sz w:val="32"/>
          <w:szCs w:val="32"/>
        </w:rPr>
      </w:pPr>
    </w:p>
    <w:p w14:paraId="75C72F02">
      <w:pPr>
        <w:jc w:val="center"/>
        <w:rPr>
          <w:rFonts w:ascii="Times New Roman" w:hAnsi="Times New Roman" w:eastAsia="黑体" w:cs="Times New Roman"/>
          <w:sz w:val="32"/>
          <w:szCs w:val="32"/>
        </w:rPr>
      </w:pPr>
    </w:p>
    <w:p w14:paraId="75635EE0">
      <w:pPr>
        <w:rPr>
          <w:rFonts w:ascii="Times New Roman" w:hAnsi="Times New Roman" w:eastAsia="黑体" w:cs="Times New Roman"/>
          <w:sz w:val="32"/>
          <w:szCs w:val="32"/>
        </w:rPr>
      </w:pPr>
    </w:p>
    <w:p w14:paraId="003BC106">
      <w:pPr>
        <w:jc w:val="center"/>
        <w:rPr>
          <w:rFonts w:ascii="Times New Roman" w:hAnsi="Times New Roman" w:eastAsia="黑体" w:cs="Times New Roman"/>
          <w:sz w:val="32"/>
          <w:szCs w:val="32"/>
        </w:rPr>
      </w:pPr>
    </w:p>
    <w:p w14:paraId="0F68AA38">
      <w:pPr>
        <w:jc w:val="center"/>
        <w:rPr>
          <w:rFonts w:ascii="Times New Roman" w:hAnsi="Times New Roman" w:eastAsia="黑体" w:cs="Times New Roman"/>
          <w:sz w:val="32"/>
          <w:szCs w:val="32"/>
        </w:rPr>
      </w:pPr>
    </w:p>
    <w:p w14:paraId="3D56F22C">
      <w:pPr>
        <w:jc w:val="center"/>
        <w:rPr>
          <w:rFonts w:ascii="Times New Roman" w:hAnsi="Times New Roman" w:eastAsia="黑体" w:cs="Times New Roman"/>
          <w:sz w:val="32"/>
          <w:szCs w:val="32"/>
        </w:rPr>
      </w:pPr>
    </w:p>
    <w:p w14:paraId="4B95634C">
      <w:pPr>
        <w:jc w:val="center"/>
        <w:rPr>
          <w:rFonts w:ascii="Times New Roman" w:hAnsi="Times New Roman" w:eastAsia="黑体" w:cs="Times New Roman"/>
          <w:sz w:val="32"/>
          <w:szCs w:val="32"/>
        </w:rPr>
      </w:pPr>
      <w:r>
        <w:rPr>
          <w:rFonts w:ascii="Times New Roman" w:hAnsi="Times New Roman" w:eastAsia="黑体" w:cs="Times New Roman"/>
          <w:sz w:val="32"/>
          <w:szCs w:val="32"/>
        </w:rPr>
        <w:t>《</w:t>
      </w:r>
      <w:bookmarkStart w:id="0" w:name="_Hlk184596566"/>
      <w:r>
        <w:rPr>
          <w:rFonts w:ascii="Times New Roman" w:hAnsi="Times New Roman" w:eastAsia="黑体" w:cs="Times New Roman"/>
          <w:sz w:val="32"/>
          <w:szCs w:val="32"/>
        </w:rPr>
        <w:t>煤化工行业碳捕集项目评价指南</w:t>
      </w:r>
      <w:bookmarkEnd w:id="0"/>
      <w:r>
        <w:rPr>
          <w:rFonts w:ascii="Times New Roman" w:hAnsi="Times New Roman" w:eastAsia="黑体" w:cs="Times New Roman"/>
          <w:sz w:val="32"/>
          <w:szCs w:val="32"/>
        </w:rPr>
        <w:t>》编制组</w:t>
      </w:r>
    </w:p>
    <w:p w14:paraId="3D0F3A71">
      <w:pPr>
        <w:jc w:val="center"/>
        <w:rPr>
          <w:rFonts w:ascii="Times New Roman" w:hAnsi="Times New Roman" w:eastAsia="黑体" w:cs="Times New Roman"/>
          <w:sz w:val="32"/>
          <w:szCs w:val="32"/>
        </w:rPr>
      </w:pPr>
    </w:p>
    <w:p w14:paraId="0C41E71B">
      <w:pPr>
        <w:jc w:val="center"/>
        <w:rPr>
          <w:rFonts w:ascii="Times New Roman" w:hAnsi="Times New Roman" w:eastAsia="黑体" w:cs="Times New Roman"/>
          <w:sz w:val="32"/>
          <w:szCs w:val="32"/>
        </w:rPr>
      </w:pPr>
      <w:r>
        <w:rPr>
          <w:rFonts w:ascii="Times New Roman" w:hAnsi="Times New Roman" w:eastAsia="黑体" w:cs="Times New Roman"/>
          <w:sz w:val="32"/>
          <w:szCs w:val="32"/>
        </w:rPr>
        <w:t>2024年12月</w:t>
      </w:r>
    </w:p>
    <w:p w14:paraId="336F2399">
      <w:pPr>
        <w:jc w:val="center"/>
        <w:rPr>
          <w:rFonts w:ascii="Times New Roman" w:hAnsi="Times New Roman" w:eastAsia="黑体" w:cs="Times New Roman"/>
          <w:sz w:val="32"/>
          <w:szCs w:val="32"/>
        </w:rPr>
        <w:sectPr>
          <w:footerReference r:id="rId3" w:type="default"/>
          <w:pgSz w:w="11906" w:h="16838"/>
          <w:pgMar w:top="1440" w:right="1800" w:bottom="1440" w:left="1800" w:header="851" w:footer="992" w:gutter="0"/>
          <w:pgNumType w:fmt="upperRoman" w:start="1"/>
          <w:cols w:space="425" w:num="1"/>
          <w:docGrid w:type="lines" w:linePitch="312" w:charSpace="0"/>
        </w:sectPr>
      </w:pPr>
    </w:p>
    <w:sdt>
      <w:sdtPr>
        <w:rPr>
          <w:rFonts w:ascii="Times New Roman" w:hAnsi="Times New Roman" w:cs="Times New Roman"/>
          <w:sz w:val="36"/>
          <w:szCs w:val="36"/>
          <w:lang w:val="zh-CN"/>
        </w:rPr>
        <w:id w:val="-1497645373"/>
        <w:docPartObj>
          <w:docPartGallery w:val="Table of Contents"/>
          <w:docPartUnique/>
        </w:docPartObj>
      </w:sdtPr>
      <w:sdtEndPr>
        <w:rPr>
          <w:rFonts w:ascii="Times New Roman" w:hAnsi="Times New Roman" w:cs="Times New Roman"/>
          <w:b/>
          <w:bCs/>
          <w:sz w:val="21"/>
          <w:szCs w:val="22"/>
          <w:lang w:val="zh-CN"/>
        </w:rPr>
      </w:sdtEndPr>
      <w:sdtContent>
        <w:p w14:paraId="39FBB31B">
          <w:pPr>
            <w:snapToGrid w:val="0"/>
            <w:spacing w:line="360" w:lineRule="auto"/>
            <w:jc w:val="center"/>
            <w:rPr>
              <w:rFonts w:ascii="Times New Roman" w:hAnsi="Times New Roman" w:eastAsia="宋体" w:cs="Times New Roman"/>
              <w:sz w:val="36"/>
              <w:szCs w:val="36"/>
            </w:rPr>
          </w:pPr>
          <w:r>
            <w:rPr>
              <w:rFonts w:ascii="Times New Roman" w:hAnsi="Times New Roman" w:eastAsia="宋体" w:cs="Times New Roman"/>
              <w:sz w:val="36"/>
              <w:szCs w:val="36"/>
            </w:rPr>
            <w:t>目录</w:t>
          </w:r>
        </w:p>
        <w:p w14:paraId="71F18B77">
          <w:pPr>
            <w:pStyle w:val="13"/>
            <w:tabs>
              <w:tab w:val="left" w:pos="420"/>
              <w:tab w:val="right" w:leader="dot" w:pos="8296"/>
            </w:tabs>
            <w:rPr>
              <w:rFonts w:asciiTheme="minorHAnsi" w:hAnsiTheme="minorHAnsi" w:eastAsiaTheme="minorEastAsia"/>
              <w:b w:val="0"/>
            </w:rPr>
          </w:pPr>
          <w:r>
            <w:rPr>
              <w:rFonts w:eastAsia="宋体" w:cs="Times New Roman"/>
              <w:sz w:val="24"/>
              <w:szCs w:val="24"/>
            </w:rPr>
            <w:fldChar w:fldCharType="begin"/>
          </w:r>
          <w:r>
            <w:rPr>
              <w:rFonts w:eastAsia="宋体" w:cs="Times New Roman"/>
              <w:sz w:val="24"/>
              <w:szCs w:val="24"/>
            </w:rPr>
            <w:instrText xml:space="preserve"> TOC \o "1-3" \h \z \u </w:instrText>
          </w:r>
          <w:r>
            <w:rPr>
              <w:rFonts w:eastAsia="宋体" w:cs="Times New Roman"/>
              <w:sz w:val="24"/>
              <w:szCs w:val="24"/>
            </w:rPr>
            <w:fldChar w:fldCharType="separate"/>
          </w:r>
          <w:r>
            <w:fldChar w:fldCharType="begin"/>
          </w:r>
          <w:r>
            <w:instrText xml:space="preserve"> HYPERLINK \l "_Toc184600159" </w:instrText>
          </w:r>
          <w:r>
            <w:fldChar w:fldCharType="separate"/>
          </w:r>
          <w:r>
            <w:rPr>
              <w:rStyle w:val="21"/>
              <w:b/>
            </w:rPr>
            <w:t>1</w:t>
          </w:r>
          <w:r>
            <w:rPr>
              <w:rFonts w:asciiTheme="minorHAnsi" w:hAnsiTheme="minorHAnsi" w:eastAsiaTheme="minorEastAsia"/>
              <w:b w:val="0"/>
            </w:rPr>
            <w:tab/>
          </w:r>
          <w:r>
            <w:rPr>
              <w:rStyle w:val="21"/>
              <w:b/>
            </w:rPr>
            <w:t>项目背景</w:t>
          </w:r>
          <w:r>
            <w:tab/>
          </w:r>
          <w:r>
            <w:fldChar w:fldCharType="begin"/>
          </w:r>
          <w:r>
            <w:instrText xml:space="preserve"> PAGEREF _Toc184600159 \h </w:instrText>
          </w:r>
          <w:r>
            <w:fldChar w:fldCharType="separate"/>
          </w:r>
          <w:r>
            <w:t>1</w:t>
          </w:r>
          <w:r>
            <w:fldChar w:fldCharType="end"/>
          </w:r>
          <w:r>
            <w:fldChar w:fldCharType="end"/>
          </w:r>
        </w:p>
        <w:p w14:paraId="5A805209">
          <w:pPr>
            <w:pStyle w:val="14"/>
            <w:tabs>
              <w:tab w:val="left" w:pos="1050"/>
              <w:tab w:val="right" w:leader="dot" w:pos="8296"/>
            </w:tabs>
            <w:rPr>
              <w:rFonts w:asciiTheme="minorHAnsi" w:hAnsiTheme="minorHAnsi" w:eastAsiaTheme="minorEastAsia"/>
            </w:rPr>
          </w:pPr>
          <w:r>
            <w:fldChar w:fldCharType="begin"/>
          </w:r>
          <w:r>
            <w:instrText xml:space="preserve"> HYPERLINK \l "_Toc184600160" </w:instrText>
          </w:r>
          <w:r>
            <w:fldChar w:fldCharType="separate"/>
          </w:r>
          <w:r>
            <w:rPr>
              <w:rStyle w:val="21"/>
            </w:rPr>
            <w:t>1.1</w:t>
          </w:r>
          <w:r>
            <w:rPr>
              <w:rFonts w:asciiTheme="minorHAnsi" w:hAnsiTheme="minorHAnsi" w:eastAsiaTheme="minorEastAsia"/>
            </w:rPr>
            <w:tab/>
          </w:r>
          <w:r>
            <w:rPr>
              <w:rStyle w:val="21"/>
            </w:rPr>
            <w:t>任务来源</w:t>
          </w:r>
          <w:r>
            <w:tab/>
          </w:r>
          <w:r>
            <w:fldChar w:fldCharType="begin"/>
          </w:r>
          <w:r>
            <w:instrText xml:space="preserve"> PAGEREF _Toc184600160 \h </w:instrText>
          </w:r>
          <w:r>
            <w:fldChar w:fldCharType="separate"/>
          </w:r>
          <w:r>
            <w:t>1</w:t>
          </w:r>
          <w:r>
            <w:fldChar w:fldCharType="end"/>
          </w:r>
          <w:r>
            <w:fldChar w:fldCharType="end"/>
          </w:r>
        </w:p>
        <w:p w14:paraId="07D7FC37">
          <w:pPr>
            <w:pStyle w:val="14"/>
            <w:tabs>
              <w:tab w:val="left" w:pos="1050"/>
              <w:tab w:val="right" w:leader="dot" w:pos="8296"/>
            </w:tabs>
            <w:rPr>
              <w:rFonts w:asciiTheme="minorHAnsi" w:hAnsiTheme="minorHAnsi" w:eastAsiaTheme="minorEastAsia"/>
            </w:rPr>
          </w:pPr>
          <w:r>
            <w:fldChar w:fldCharType="begin"/>
          </w:r>
          <w:r>
            <w:instrText xml:space="preserve"> HYPERLINK \l "_Toc184600161" </w:instrText>
          </w:r>
          <w:r>
            <w:fldChar w:fldCharType="separate"/>
          </w:r>
          <w:r>
            <w:rPr>
              <w:rStyle w:val="21"/>
            </w:rPr>
            <w:t>1.2</w:t>
          </w:r>
          <w:r>
            <w:rPr>
              <w:rFonts w:asciiTheme="minorHAnsi" w:hAnsiTheme="minorHAnsi" w:eastAsiaTheme="minorEastAsia"/>
            </w:rPr>
            <w:tab/>
          </w:r>
          <w:r>
            <w:rPr>
              <w:rStyle w:val="21"/>
            </w:rPr>
            <w:t>主要工作过程</w:t>
          </w:r>
          <w:r>
            <w:tab/>
          </w:r>
          <w:r>
            <w:fldChar w:fldCharType="begin"/>
          </w:r>
          <w:r>
            <w:instrText xml:space="preserve"> PAGEREF _Toc184600161 \h </w:instrText>
          </w:r>
          <w:r>
            <w:fldChar w:fldCharType="separate"/>
          </w:r>
          <w:r>
            <w:t>1</w:t>
          </w:r>
          <w:r>
            <w:fldChar w:fldCharType="end"/>
          </w:r>
          <w:r>
            <w:fldChar w:fldCharType="end"/>
          </w:r>
        </w:p>
        <w:p w14:paraId="03F36E66">
          <w:pPr>
            <w:pStyle w:val="13"/>
            <w:tabs>
              <w:tab w:val="left" w:pos="420"/>
              <w:tab w:val="right" w:leader="dot" w:pos="8296"/>
            </w:tabs>
            <w:rPr>
              <w:rFonts w:asciiTheme="minorHAnsi" w:hAnsiTheme="minorHAnsi" w:eastAsiaTheme="minorEastAsia"/>
              <w:b w:val="0"/>
            </w:rPr>
          </w:pPr>
          <w:r>
            <w:fldChar w:fldCharType="begin"/>
          </w:r>
          <w:r>
            <w:instrText xml:space="preserve"> HYPERLINK \l "_Toc184600162" </w:instrText>
          </w:r>
          <w:r>
            <w:fldChar w:fldCharType="separate"/>
          </w:r>
          <w:r>
            <w:rPr>
              <w:rStyle w:val="21"/>
              <w:b/>
            </w:rPr>
            <w:t>2</w:t>
          </w:r>
          <w:r>
            <w:rPr>
              <w:rFonts w:asciiTheme="minorHAnsi" w:hAnsiTheme="minorHAnsi" w:eastAsiaTheme="minorEastAsia"/>
              <w:b w:val="0"/>
            </w:rPr>
            <w:tab/>
          </w:r>
          <w:r>
            <w:rPr>
              <w:rStyle w:val="21"/>
              <w:b/>
            </w:rPr>
            <w:t>标准制定的必要性和意义</w:t>
          </w:r>
          <w:r>
            <w:tab/>
          </w:r>
          <w:r>
            <w:fldChar w:fldCharType="begin"/>
          </w:r>
          <w:r>
            <w:instrText xml:space="preserve"> PAGEREF _Toc184600162 \h </w:instrText>
          </w:r>
          <w:r>
            <w:fldChar w:fldCharType="separate"/>
          </w:r>
          <w:r>
            <w:t>2</w:t>
          </w:r>
          <w:r>
            <w:fldChar w:fldCharType="end"/>
          </w:r>
          <w:r>
            <w:fldChar w:fldCharType="end"/>
          </w:r>
        </w:p>
        <w:p w14:paraId="2CDEFD2C">
          <w:pPr>
            <w:pStyle w:val="13"/>
            <w:tabs>
              <w:tab w:val="left" w:pos="420"/>
              <w:tab w:val="right" w:leader="dot" w:pos="8296"/>
            </w:tabs>
            <w:rPr>
              <w:rFonts w:asciiTheme="minorHAnsi" w:hAnsiTheme="minorHAnsi" w:eastAsiaTheme="minorEastAsia"/>
              <w:b w:val="0"/>
            </w:rPr>
          </w:pPr>
          <w:r>
            <w:fldChar w:fldCharType="begin"/>
          </w:r>
          <w:r>
            <w:instrText xml:space="preserve"> HYPERLINK \l "_Toc184600163" </w:instrText>
          </w:r>
          <w:r>
            <w:fldChar w:fldCharType="separate"/>
          </w:r>
          <w:r>
            <w:rPr>
              <w:rStyle w:val="21"/>
              <w:b/>
            </w:rPr>
            <w:t>3</w:t>
          </w:r>
          <w:r>
            <w:rPr>
              <w:rFonts w:asciiTheme="minorHAnsi" w:hAnsiTheme="minorHAnsi" w:eastAsiaTheme="minorEastAsia"/>
              <w:b w:val="0"/>
            </w:rPr>
            <w:tab/>
          </w:r>
          <w:r>
            <w:rPr>
              <w:rStyle w:val="21"/>
              <w:b/>
            </w:rPr>
            <w:t>行业概况</w:t>
          </w:r>
          <w:r>
            <w:tab/>
          </w:r>
          <w:r>
            <w:fldChar w:fldCharType="begin"/>
          </w:r>
          <w:r>
            <w:instrText xml:space="preserve"> PAGEREF _Toc184600163 \h </w:instrText>
          </w:r>
          <w:r>
            <w:fldChar w:fldCharType="separate"/>
          </w:r>
          <w:r>
            <w:t>4</w:t>
          </w:r>
          <w:r>
            <w:fldChar w:fldCharType="end"/>
          </w:r>
          <w:r>
            <w:fldChar w:fldCharType="end"/>
          </w:r>
        </w:p>
        <w:p w14:paraId="01A34AB8">
          <w:pPr>
            <w:pStyle w:val="14"/>
            <w:tabs>
              <w:tab w:val="left" w:pos="1050"/>
              <w:tab w:val="right" w:leader="dot" w:pos="8296"/>
            </w:tabs>
            <w:rPr>
              <w:rFonts w:asciiTheme="minorHAnsi" w:hAnsiTheme="minorHAnsi" w:eastAsiaTheme="minorEastAsia"/>
            </w:rPr>
          </w:pPr>
          <w:r>
            <w:fldChar w:fldCharType="begin"/>
          </w:r>
          <w:r>
            <w:instrText xml:space="preserve"> HYPERLINK \l "_Toc184600164" </w:instrText>
          </w:r>
          <w:r>
            <w:fldChar w:fldCharType="separate"/>
          </w:r>
          <w:r>
            <w:rPr>
              <w:rStyle w:val="21"/>
            </w:rPr>
            <w:t>3.1</w:t>
          </w:r>
          <w:r>
            <w:rPr>
              <w:rFonts w:asciiTheme="minorHAnsi" w:hAnsiTheme="minorHAnsi" w:eastAsiaTheme="minorEastAsia"/>
            </w:rPr>
            <w:tab/>
          </w:r>
          <w:r>
            <w:rPr>
              <w:rStyle w:val="21"/>
            </w:rPr>
            <w:t>现代煤化工发展现状</w:t>
          </w:r>
          <w:r>
            <w:tab/>
          </w:r>
          <w:r>
            <w:fldChar w:fldCharType="begin"/>
          </w:r>
          <w:r>
            <w:instrText xml:space="preserve"> PAGEREF _Toc184600164 \h </w:instrText>
          </w:r>
          <w:r>
            <w:fldChar w:fldCharType="separate"/>
          </w:r>
          <w:r>
            <w:t>4</w:t>
          </w:r>
          <w:r>
            <w:fldChar w:fldCharType="end"/>
          </w:r>
          <w:r>
            <w:fldChar w:fldCharType="end"/>
          </w:r>
        </w:p>
        <w:p w14:paraId="70761E20">
          <w:pPr>
            <w:pStyle w:val="9"/>
            <w:tabs>
              <w:tab w:val="left" w:pos="1680"/>
              <w:tab w:val="right" w:leader="dot" w:pos="8296"/>
            </w:tabs>
            <w:rPr>
              <w:rFonts w:asciiTheme="minorHAnsi" w:hAnsiTheme="minorHAnsi" w:eastAsiaTheme="minorEastAsia"/>
            </w:rPr>
          </w:pPr>
          <w:r>
            <w:fldChar w:fldCharType="begin"/>
          </w:r>
          <w:r>
            <w:instrText xml:space="preserve"> HYPERLINK \l "_Toc184600165" </w:instrText>
          </w:r>
          <w:r>
            <w:fldChar w:fldCharType="separate"/>
          </w:r>
          <w:r>
            <w:rPr>
              <w:rStyle w:val="21"/>
            </w:rPr>
            <w:t>3.1.1</w:t>
          </w:r>
          <w:r>
            <w:rPr>
              <w:rFonts w:asciiTheme="minorHAnsi" w:hAnsiTheme="minorHAnsi" w:eastAsiaTheme="minorEastAsia"/>
            </w:rPr>
            <w:tab/>
          </w:r>
          <w:r>
            <w:rPr>
              <w:rStyle w:val="21"/>
            </w:rPr>
            <w:t>现代煤化工产业链</w:t>
          </w:r>
          <w:r>
            <w:tab/>
          </w:r>
          <w:r>
            <w:fldChar w:fldCharType="begin"/>
          </w:r>
          <w:r>
            <w:instrText xml:space="preserve"> PAGEREF _Toc184600165 \h </w:instrText>
          </w:r>
          <w:r>
            <w:fldChar w:fldCharType="separate"/>
          </w:r>
          <w:r>
            <w:t>5</w:t>
          </w:r>
          <w:r>
            <w:fldChar w:fldCharType="end"/>
          </w:r>
          <w:r>
            <w:fldChar w:fldCharType="end"/>
          </w:r>
        </w:p>
        <w:p w14:paraId="7E6EB50C">
          <w:pPr>
            <w:pStyle w:val="9"/>
            <w:tabs>
              <w:tab w:val="left" w:pos="1680"/>
              <w:tab w:val="right" w:leader="dot" w:pos="8296"/>
            </w:tabs>
            <w:rPr>
              <w:rFonts w:asciiTheme="minorHAnsi" w:hAnsiTheme="minorHAnsi" w:eastAsiaTheme="minorEastAsia"/>
            </w:rPr>
          </w:pPr>
          <w:r>
            <w:fldChar w:fldCharType="begin"/>
          </w:r>
          <w:r>
            <w:instrText xml:space="preserve"> HYPERLINK \l "_Toc184600166" </w:instrText>
          </w:r>
          <w:r>
            <w:fldChar w:fldCharType="separate"/>
          </w:r>
          <w:r>
            <w:rPr>
              <w:rStyle w:val="21"/>
            </w:rPr>
            <w:t>3.1.2</w:t>
          </w:r>
          <w:r>
            <w:rPr>
              <w:rFonts w:asciiTheme="minorHAnsi" w:hAnsiTheme="minorHAnsi" w:eastAsiaTheme="minorEastAsia"/>
            </w:rPr>
            <w:tab/>
          </w:r>
          <w:r>
            <w:rPr>
              <w:rStyle w:val="21"/>
            </w:rPr>
            <w:t>煤化工碳排放</w:t>
          </w:r>
          <w:r>
            <w:tab/>
          </w:r>
          <w:r>
            <w:fldChar w:fldCharType="begin"/>
          </w:r>
          <w:r>
            <w:instrText xml:space="preserve"> PAGEREF _Toc184600166 \h </w:instrText>
          </w:r>
          <w:r>
            <w:fldChar w:fldCharType="separate"/>
          </w:r>
          <w:r>
            <w:t>6</w:t>
          </w:r>
          <w:r>
            <w:fldChar w:fldCharType="end"/>
          </w:r>
          <w:r>
            <w:fldChar w:fldCharType="end"/>
          </w:r>
        </w:p>
        <w:p w14:paraId="782489AA">
          <w:pPr>
            <w:pStyle w:val="14"/>
            <w:tabs>
              <w:tab w:val="left" w:pos="1050"/>
              <w:tab w:val="right" w:leader="dot" w:pos="8296"/>
            </w:tabs>
            <w:rPr>
              <w:rFonts w:asciiTheme="minorHAnsi" w:hAnsiTheme="minorHAnsi" w:eastAsiaTheme="minorEastAsia"/>
            </w:rPr>
          </w:pPr>
          <w:r>
            <w:fldChar w:fldCharType="begin"/>
          </w:r>
          <w:r>
            <w:instrText xml:space="preserve"> HYPERLINK \l "_Toc184600167" </w:instrText>
          </w:r>
          <w:r>
            <w:fldChar w:fldCharType="separate"/>
          </w:r>
          <w:r>
            <w:rPr>
              <w:rStyle w:val="21"/>
            </w:rPr>
            <w:t>3.2</w:t>
          </w:r>
          <w:r>
            <w:rPr>
              <w:rFonts w:asciiTheme="minorHAnsi" w:hAnsiTheme="minorHAnsi" w:eastAsiaTheme="minorEastAsia"/>
            </w:rPr>
            <w:tab/>
          </w:r>
          <w:r>
            <w:rPr>
              <w:rStyle w:val="21"/>
            </w:rPr>
            <w:t>现代煤化工常见工艺</w:t>
          </w:r>
          <w:r>
            <w:tab/>
          </w:r>
          <w:r>
            <w:fldChar w:fldCharType="begin"/>
          </w:r>
          <w:r>
            <w:instrText xml:space="preserve"> PAGEREF _Toc184600167 \h </w:instrText>
          </w:r>
          <w:r>
            <w:fldChar w:fldCharType="separate"/>
          </w:r>
          <w:r>
            <w:t>7</w:t>
          </w:r>
          <w:r>
            <w:fldChar w:fldCharType="end"/>
          </w:r>
          <w:r>
            <w:fldChar w:fldCharType="end"/>
          </w:r>
        </w:p>
        <w:p w14:paraId="2CC225C9">
          <w:pPr>
            <w:pStyle w:val="9"/>
            <w:tabs>
              <w:tab w:val="left" w:pos="1680"/>
              <w:tab w:val="right" w:leader="dot" w:pos="8296"/>
            </w:tabs>
            <w:rPr>
              <w:rFonts w:asciiTheme="minorHAnsi" w:hAnsiTheme="minorHAnsi" w:eastAsiaTheme="minorEastAsia"/>
            </w:rPr>
          </w:pPr>
          <w:r>
            <w:fldChar w:fldCharType="begin"/>
          </w:r>
          <w:r>
            <w:instrText xml:space="preserve"> HYPERLINK \l "_Toc184600168" </w:instrText>
          </w:r>
          <w:r>
            <w:fldChar w:fldCharType="separate"/>
          </w:r>
          <w:r>
            <w:rPr>
              <w:rStyle w:val="21"/>
            </w:rPr>
            <w:t>3.2.1</w:t>
          </w:r>
          <w:r>
            <w:rPr>
              <w:rFonts w:asciiTheme="minorHAnsi" w:hAnsiTheme="minorHAnsi" w:eastAsiaTheme="minorEastAsia"/>
            </w:rPr>
            <w:tab/>
          </w:r>
          <w:r>
            <w:rPr>
              <w:rStyle w:val="21"/>
            </w:rPr>
            <w:t>煤制甲醇</w:t>
          </w:r>
          <w:r>
            <w:tab/>
          </w:r>
          <w:r>
            <w:fldChar w:fldCharType="begin"/>
          </w:r>
          <w:r>
            <w:instrText xml:space="preserve"> PAGEREF _Toc184600168 \h </w:instrText>
          </w:r>
          <w:r>
            <w:fldChar w:fldCharType="separate"/>
          </w:r>
          <w:r>
            <w:t>8</w:t>
          </w:r>
          <w:r>
            <w:fldChar w:fldCharType="end"/>
          </w:r>
          <w:r>
            <w:fldChar w:fldCharType="end"/>
          </w:r>
        </w:p>
        <w:p w14:paraId="2F306092">
          <w:pPr>
            <w:pStyle w:val="9"/>
            <w:tabs>
              <w:tab w:val="left" w:pos="1680"/>
              <w:tab w:val="right" w:leader="dot" w:pos="8296"/>
            </w:tabs>
            <w:rPr>
              <w:rFonts w:asciiTheme="minorHAnsi" w:hAnsiTheme="minorHAnsi" w:eastAsiaTheme="minorEastAsia"/>
            </w:rPr>
          </w:pPr>
          <w:r>
            <w:fldChar w:fldCharType="begin"/>
          </w:r>
          <w:r>
            <w:instrText xml:space="preserve"> HYPERLINK \l "_Toc184600169" </w:instrText>
          </w:r>
          <w:r>
            <w:fldChar w:fldCharType="separate"/>
          </w:r>
          <w:r>
            <w:rPr>
              <w:rStyle w:val="21"/>
            </w:rPr>
            <w:t>3.2.2</w:t>
          </w:r>
          <w:r>
            <w:rPr>
              <w:rFonts w:asciiTheme="minorHAnsi" w:hAnsiTheme="minorHAnsi" w:eastAsiaTheme="minorEastAsia"/>
            </w:rPr>
            <w:tab/>
          </w:r>
          <w:r>
            <w:rPr>
              <w:rStyle w:val="21"/>
            </w:rPr>
            <w:t>煤制烯烃</w:t>
          </w:r>
          <w:r>
            <w:tab/>
          </w:r>
          <w:r>
            <w:fldChar w:fldCharType="begin"/>
          </w:r>
          <w:r>
            <w:instrText xml:space="preserve"> PAGEREF _Toc184600169 \h </w:instrText>
          </w:r>
          <w:r>
            <w:fldChar w:fldCharType="separate"/>
          </w:r>
          <w:r>
            <w:t>10</w:t>
          </w:r>
          <w:r>
            <w:fldChar w:fldCharType="end"/>
          </w:r>
          <w:r>
            <w:fldChar w:fldCharType="end"/>
          </w:r>
        </w:p>
        <w:p w14:paraId="6DF57EA1">
          <w:pPr>
            <w:pStyle w:val="9"/>
            <w:tabs>
              <w:tab w:val="left" w:pos="1680"/>
              <w:tab w:val="right" w:leader="dot" w:pos="8296"/>
            </w:tabs>
            <w:rPr>
              <w:rFonts w:asciiTheme="minorHAnsi" w:hAnsiTheme="minorHAnsi" w:eastAsiaTheme="minorEastAsia"/>
            </w:rPr>
          </w:pPr>
          <w:r>
            <w:fldChar w:fldCharType="begin"/>
          </w:r>
          <w:r>
            <w:instrText xml:space="preserve"> HYPERLINK \l "_Toc184600170" </w:instrText>
          </w:r>
          <w:r>
            <w:fldChar w:fldCharType="separate"/>
          </w:r>
          <w:r>
            <w:rPr>
              <w:rStyle w:val="21"/>
            </w:rPr>
            <w:t>3.2.3</w:t>
          </w:r>
          <w:r>
            <w:rPr>
              <w:rFonts w:asciiTheme="minorHAnsi" w:hAnsiTheme="minorHAnsi" w:eastAsiaTheme="minorEastAsia"/>
            </w:rPr>
            <w:tab/>
          </w:r>
          <w:r>
            <w:rPr>
              <w:rStyle w:val="21"/>
            </w:rPr>
            <w:t>煤炭气化</w:t>
          </w:r>
          <w:r>
            <w:tab/>
          </w:r>
          <w:r>
            <w:fldChar w:fldCharType="begin"/>
          </w:r>
          <w:r>
            <w:instrText xml:space="preserve"> PAGEREF _Toc184600170 \h </w:instrText>
          </w:r>
          <w:r>
            <w:fldChar w:fldCharType="separate"/>
          </w:r>
          <w:r>
            <w:t>12</w:t>
          </w:r>
          <w:r>
            <w:fldChar w:fldCharType="end"/>
          </w:r>
          <w:r>
            <w:fldChar w:fldCharType="end"/>
          </w:r>
        </w:p>
        <w:p w14:paraId="7E07CC2A">
          <w:pPr>
            <w:pStyle w:val="9"/>
            <w:tabs>
              <w:tab w:val="left" w:pos="1680"/>
              <w:tab w:val="right" w:leader="dot" w:pos="8296"/>
            </w:tabs>
            <w:rPr>
              <w:rFonts w:asciiTheme="minorHAnsi" w:hAnsiTheme="minorHAnsi" w:eastAsiaTheme="minorEastAsia"/>
            </w:rPr>
          </w:pPr>
          <w:r>
            <w:fldChar w:fldCharType="begin"/>
          </w:r>
          <w:r>
            <w:instrText xml:space="preserve"> HYPERLINK \l "_Toc184600171" </w:instrText>
          </w:r>
          <w:r>
            <w:fldChar w:fldCharType="separate"/>
          </w:r>
          <w:r>
            <w:rPr>
              <w:rStyle w:val="21"/>
            </w:rPr>
            <w:t>3.2.4</w:t>
          </w:r>
          <w:r>
            <w:rPr>
              <w:rFonts w:asciiTheme="minorHAnsi" w:hAnsiTheme="minorHAnsi" w:eastAsiaTheme="minorEastAsia"/>
            </w:rPr>
            <w:tab/>
          </w:r>
          <w:r>
            <w:rPr>
              <w:rStyle w:val="21"/>
            </w:rPr>
            <w:t>煤炭液化</w:t>
          </w:r>
          <w:r>
            <w:tab/>
          </w:r>
          <w:r>
            <w:fldChar w:fldCharType="begin"/>
          </w:r>
          <w:r>
            <w:instrText xml:space="preserve"> PAGEREF _Toc184600171 \h </w:instrText>
          </w:r>
          <w:r>
            <w:fldChar w:fldCharType="separate"/>
          </w:r>
          <w:r>
            <w:t>14</w:t>
          </w:r>
          <w:r>
            <w:fldChar w:fldCharType="end"/>
          </w:r>
          <w:r>
            <w:fldChar w:fldCharType="end"/>
          </w:r>
        </w:p>
        <w:p w14:paraId="0C3053D5">
          <w:pPr>
            <w:pStyle w:val="9"/>
            <w:tabs>
              <w:tab w:val="left" w:pos="1680"/>
              <w:tab w:val="right" w:leader="dot" w:pos="8296"/>
            </w:tabs>
            <w:rPr>
              <w:rFonts w:asciiTheme="minorHAnsi" w:hAnsiTheme="minorHAnsi" w:eastAsiaTheme="minorEastAsia"/>
            </w:rPr>
          </w:pPr>
          <w:r>
            <w:fldChar w:fldCharType="begin"/>
          </w:r>
          <w:r>
            <w:instrText xml:space="preserve"> HYPERLINK \l "_Toc184600172" </w:instrText>
          </w:r>
          <w:r>
            <w:fldChar w:fldCharType="separate"/>
          </w:r>
          <w:r>
            <w:rPr>
              <w:rStyle w:val="21"/>
            </w:rPr>
            <w:t>3.2.5</w:t>
          </w:r>
          <w:r>
            <w:rPr>
              <w:rFonts w:asciiTheme="minorHAnsi" w:hAnsiTheme="minorHAnsi" w:eastAsiaTheme="minorEastAsia"/>
            </w:rPr>
            <w:tab/>
          </w:r>
          <w:r>
            <w:rPr>
              <w:rStyle w:val="21"/>
            </w:rPr>
            <w:t>煤化工碳捕集项目现状与应用潜力</w:t>
          </w:r>
          <w:r>
            <w:tab/>
          </w:r>
          <w:r>
            <w:fldChar w:fldCharType="begin"/>
          </w:r>
          <w:r>
            <w:instrText xml:space="preserve"> PAGEREF _Toc184600172 \h </w:instrText>
          </w:r>
          <w:r>
            <w:fldChar w:fldCharType="separate"/>
          </w:r>
          <w:r>
            <w:t>14</w:t>
          </w:r>
          <w:r>
            <w:fldChar w:fldCharType="end"/>
          </w:r>
          <w:r>
            <w:fldChar w:fldCharType="end"/>
          </w:r>
        </w:p>
        <w:p w14:paraId="350CCD80">
          <w:pPr>
            <w:pStyle w:val="9"/>
            <w:tabs>
              <w:tab w:val="left" w:pos="1680"/>
              <w:tab w:val="right" w:leader="dot" w:pos="8296"/>
            </w:tabs>
            <w:rPr>
              <w:rFonts w:asciiTheme="minorHAnsi" w:hAnsiTheme="minorHAnsi" w:eastAsiaTheme="minorEastAsia"/>
            </w:rPr>
          </w:pPr>
          <w:r>
            <w:fldChar w:fldCharType="begin"/>
          </w:r>
          <w:r>
            <w:instrText xml:space="preserve"> HYPERLINK \l "_Toc184600173" </w:instrText>
          </w:r>
          <w:r>
            <w:fldChar w:fldCharType="separate"/>
          </w:r>
          <w:r>
            <w:rPr>
              <w:rStyle w:val="21"/>
            </w:rPr>
            <w:t>3.2.6</w:t>
          </w:r>
          <w:r>
            <w:rPr>
              <w:rFonts w:asciiTheme="minorHAnsi" w:hAnsiTheme="minorHAnsi" w:eastAsiaTheme="minorEastAsia"/>
            </w:rPr>
            <w:tab/>
          </w:r>
          <w:r>
            <w:rPr>
              <w:rStyle w:val="21"/>
            </w:rPr>
            <w:t>煤化工碳捕集项目实例</w:t>
          </w:r>
          <w:r>
            <w:tab/>
          </w:r>
          <w:r>
            <w:fldChar w:fldCharType="begin"/>
          </w:r>
          <w:r>
            <w:instrText xml:space="preserve"> PAGEREF _Toc184600173 \h </w:instrText>
          </w:r>
          <w:r>
            <w:fldChar w:fldCharType="separate"/>
          </w:r>
          <w:r>
            <w:t>19</w:t>
          </w:r>
          <w:r>
            <w:fldChar w:fldCharType="end"/>
          </w:r>
          <w:r>
            <w:fldChar w:fldCharType="end"/>
          </w:r>
        </w:p>
        <w:p w14:paraId="4734670A">
          <w:pPr>
            <w:pStyle w:val="14"/>
            <w:tabs>
              <w:tab w:val="left" w:pos="1050"/>
              <w:tab w:val="right" w:leader="dot" w:pos="8296"/>
            </w:tabs>
            <w:rPr>
              <w:rFonts w:asciiTheme="minorHAnsi" w:hAnsiTheme="minorHAnsi" w:eastAsiaTheme="minorEastAsia"/>
            </w:rPr>
          </w:pPr>
          <w:r>
            <w:fldChar w:fldCharType="begin"/>
          </w:r>
          <w:r>
            <w:instrText xml:space="preserve"> HYPERLINK \l "_Toc184600174" </w:instrText>
          </w:r>
          <w:r>
            <w:fldChar w:fldCharType="separate"/>
          </w:r>
          <w:r>
            <w:rPr>
              <w:rStyle w:val="21"/>
            </w:rPr>
            <w:t>3.3</w:t>
          </w:r>
          <w:r>
            <w:rPr>
              <w:rFonts w:asciiTheme="minorHAnsi" w:hAnsiTheme="minorHAnsi" w:eastAsiaTheme="minorEastAsia"/>
            </w:rPr>
            <w:tab/>
          </w:r>
          <w:r>
            <w:rPr>
              <w:rStyle w:val="21"/>
            </w:rPr>
            <w:t>煤化工过程二氧化碳捕集技术</w:t>
          </w:r>
          <w:r>
            <w:tab/>
          </w:r>
          <w:r>
            <w:fldChar w:fldCharType="begin"/>
          </w:r>
          <w:r>
            <w:instrText xml:space="preserve"> PAGEREF _Toc184600174 \h </w:instrText>
          </w:r>
          <w:r>
            <w:fldChar w:fldCharType="separate"/>
          </w:r>
          <w:r>
            <w:t>22</w:t>
          </w:r>
          <w:r>
            <w:fldChar w:fldCharType="end"/>
          </w:r>
          <w:r>
            <w:fldChar w:fldCharType="end"/>
          </w:r>
        </w:p>
        <w:p w14:paraId="4061C5AC">
          <w:pPr>
            <w:pStyle w:val="9"/>
            <w:tabs>
              <w:tab w:val="left" w:pos="1680"/>
              <w:tab w:val="right" w:leader="dot" w:pos="8296"/>
            </w:tabs>
            <w:rPr>
              <w:rFonts w:asciiTheme="minorHAnsi" w:hAnsiTheme="minorHAnsi" w:eastAsiaTheme="minorEastAsia"/>
            </w:rPr>
          </w:pPr>
          <w:r>
            <w:fldChar w:fldCharType="begin"/>
          </w:r>
          <w:r>
            <w:instrText xml:space="preserve"> HYPERLINK \l "_Toc184600175" </w:instrText>
          </w:r>
          <w:r>
            <w:fldChar w:fldCharType="separate"/>
          </w:r>
          <w:r>
            <w:rPr>
              <w:rStyle w:val="21"/>
            </w:rPr>
            <w:t>3.3.1</w:t>
          </w:r>
          <w:r>
            <w:rPr>
              <w:rFonts w:asciiTheme="minorHAnsi" w:hAnsiTheme="minorHAnsi" w:eastAsiaTheme="minorEastAsia"/>
            </w:rPr>
            <w:tab/>
          </w:r>
          <w:r>
            <w:rPr>
              <w:rStyle w:val="21"/>
            </w:rPr>
            <w:t>吸收法CO</w:t>
          </w:r>
          <w:r>
            <w:rPr>
              <w:rStyle w:val="21"/>
              <w:vertAlign w:val="subscript"/>
            </w:rPr>
            <w:t>2</w:t>
          </w:r>
          <w:r>
            <w:rPr>
              <w:rStyle w:val="21"/>
            </w:rPr>
            <w:t>捕集技术</w:t>
          </w:r>
          <w:r>
            <w:tab/>
          </w:r>
          <w:r>
            <w:fldChar w:fldCharType="begin"/>
          </w:r>
          <w:r>
            <w:instrText xml:space="preserve"> PAGEREF _Toc184600175 \h </w:instrText>
          </w:r>
          <w:r>
            <w:fldChar w:fldCharType="separate"/>
          </w:r>
          <w:r>
            <w:t>22</w:t>
          </w:r>
          <w:r>
            <w:fldChar w:fldCharType="end"/>
          </w:r>
          <w:r>
            <w:fldChar w:fldCharType="end"/>
          </w:r>
        </w:p>
        <w:p w14:paraId="01E92590">
          <w:pPr>
            <w:pStyle w:val="9"/>
            <w:tabs>
              <w:tab w:val="left" w:pos="1680"/>
              <w:tab w:val="right" w:leader="dot" w:pos="8296"/>
            </w:tabs>
            <w:rPr>
              <w:rFonts w:asciiTheme="minorHAnsi" w:hAnsiTheme="minorHAnsi" w:eastAsiaTheme="minorEastAsia"/>
            </w:rPr>
          </w:pPr>
          <w:r>
            <w:fldChar w:fldCharType="begin"/>
          </w:r>
          <w:r>
            <w:instrText xml:space="preserve"> HYPERLINK \l "_Toc184600176" </w:instrText>
          </w:r>
          <w:r>
            <w:fldChar w:fldCharType="separate"/>
          </w:r>
          <w:r>
            <w:rPr>
              <w:rStyle w:val="21"/>
            </w:rPr>
            <w:t>3.3.2</w:t>
          </w:r>
          <w:r>
            <w:rPr>
              <w:rFonts w:asciiTheme="minorHAnsi" w:hAnsiTheme="minorHAnsi" w:eastAsiaTheme="minorEastAsia"/>
            </w:rPr>
            <w:tab/>
          </w:r>
          <w:r>
            <w:rPr>
              <w:rStyle w:val="21"/>
            </w:rPr>
            <w:t>吸附法CO</w:t>
          </w:r>
          <w:r>
            <w:rPr>
              <w:rStyle w:val="21"/>
              <w:vertAlign w:val="subscript"/>
            </w:rPr>
            <w:t>2</w:t>
          </w:r>
          <w:r>
            <w:rPr>
              <w:rStyle w:val="21"/>
            </w:rPr>
            <w:t>捕集技术</w:t>
          </w:r>
          <w:r>
            <w:tab/>
          </w:r>
          <w:r>
            <w:fldChar w:fldCharType="begin"/>
          </w:r>
          <w:r>
            <w:instrText xml:space="preserve"> PAGEREF _Toc184600176 \h </w:instrText>
          </w:r>
          <w:r>
            <w:fldChar w:fldCharType="separate"/>
          </w:r>
          <w:r>
            <w:t>23</w:t>
          </w:r>
          <w:r>
            <w:fldChar w:fldCharType="end"/>
          </w:r>
          <w:r>
            <w:fldChar w:fldCharType="end"/>
          </w:r>
        </w:p>
        <w:p w14:paraId="6852C320">
          <w:pPr>
            <w:pStyle w:val="9"/>
            <w:tabs>
              <w:tab w:val="left" w:pos="1680"/>
              <w:tab w:val="right" w:leader="dot" w:pos="8296"/>
            </w:tabs>
            <w:rPr>
              <w:rFonts w:asciiTheme="minorHAnsi" w:hAnsiTheme="minorHAnsi" w:eastAsiaTheme="minorEastAsia"/>
            </w:rPr>
          </w:pPr>
          <w:r>
            <w:fldChar w:fldCharType="begin"/>
          </w:r>
          <w:r>
            <w:instrText xml:space="preserve"> HYPERLINK \l "_Toc184600177" </w:instrText>
          </w:r>
          <w:r>
            <w:fldChar w:fldCharType="separate"/>
          </w:r>
          <w:r>
            <w:rPr>
              <w:rStyle w:val="21"/>
            </w:rPr>
            <w:t>3.3.3</w:t>
          </w:r>
          <w:r>
            <w:rPr>
              <w:rFonts w:asciiTheme="minorHAnsi" w:hAnsiTheme="minorHAnsi" w:eastAsiaTheme="minorEastAsia"/>
            </w:rPr>
            <w:tab/>
          </w:r>
          <w:r>
            <w:rPr>
              <w:rStyle w:val="21"/>
            </w:rPr>
            <w:t>膜法CO</w:t>
          </w:r>
          <w:r>
            <w:rPr>
              <w:rStyle w:val="21"/>
              <w:vertAlign w:val="subscript"/>
            </w:rPr>
            <w:t>2</w:t>
          </w:r>
          <w:r>
            <w:rPr>
              <w:rStyle w:val="21"/>
            </w:rPr>
            <w:t>捕集分离技术</w:t>
          </w:r>
          <w:r>
            <w:tab/>
          </w:r>
          <w:r>
            <w:fldChar w:fldCharType="begin"/>
          </w:r>
          <w:r>
            <w:instrText xml:space="preserve"> PAGEREF _Toc184600177 \h </w:instrText>
          </w:r>
          <w:r>
            <w:fldChar w:fldCharType="separate"/>
          </w:r>
          <w:r>
            <w:t>24</w:t>
          </w:r>
          <w:r>
            <w:fldChar w:fldCharType="end"/>
          </w:r>
          <w:r>
            <w:fldChar w:fldCharType="end"/>
          </w:r>
        </w:p>
        <w:p w14:paraId="4A149D36">
          <w:pPr>
            <w:pStyle w:val="13"/>
            <w:tabs>
              <w:tab w:val="left" w:pos="420"/>
              <w:tab w:val="right" w:leader="dot" w:pos="8296"/>
            </w:tabs>
            <w:rPr>
              <w:rFonts w:asciiTheme="minorHAnsi" w:hAnsiTheme="minorHAnsi" w:eastAsiaTheme="minorEastAsia"/>
              <w:b w:val="0"/>
            </w:rPr>
          </w:pPr>
          <w:r>
            <w:fldChar w:fldCharType="begin"/>
          </w:r>
          <w:r>
            <w:instrText xml:space="preserve"> HYPERLINK \l "_Toc184600178" </w:instrText>
          </w:r>
          <w:r>
            <w:fldChar w:fldCharType="separate"/>
          </w:r>
          <w:r>
            <w:rPr>
              <w:rStyle w:val="21"/>
              <w:b/>
            </w:rPr>
            <w:t>4</w:t>
          </w:r>
          <w:r>
            <w:rPr>
              <w:rFonts w:asciiTheme="minorHAnsi" w:hAnsiTheme="minorHAnsi" w:eastAsiaTheme="minorEastAsia"/>
              <w:b w:val="0"/>
            </w:rPr>
            <w:tab/>
          </w:r>
          <w:r>
            <w:rPr>
              <w:rStyle w:val="21"/>
              <w:b/>
            </w:rPr>
            <w:t>标准制定原则</w:t>
          </w:r>
          <w:r>
            <w:tab/>
          </w:r>
          <w:r>
            <w:fldChar w:fldCharType="begin"/>
          </w:r>
          <w:r>
            <w:instrText xml:space="preserve"> PAGEREF _Toc184600178 \h </w:instrText>
          </w:r>
          <w:r>
            <w:fldChar w:fldCharType="separate"/>
          </w:r>
          <w:r>
            <w:t>26</w:t>
          </w:r>
          <w:r>
            <w:fldChar w:fldCharType="end"/>
          </w:r>
          <w:r>
            <w:fldChar w:fldCharType="end"/>
          </w:r>
        </w:p>
        <w:p w14:paraId="13DFF165">
          <w:pPr>
            <w:pStyle w:val="13"/>
            <w:tabs>
              <w:tab w:val="left" w:pos="420"/>
              <w:tab w:val="right" w:leader="dot" w:pos="8296"/>
            </w:tabs>
            <w:rPr>
              <w:rFonts w:asciiTheme="minorHAnsi" w:hAnsiTheme="minorHAnsi" w:eastAsiaTheme="minorEastAsia"/>
              <w:b w:val="0"/>
            </w:rPr>
          </w:pPr>
          <w:r>
            <w:fldChar w:fldCharType="begin"/>
          </w:r>
          <w:r>
            <w:instrText xml:space="preserve"> HYPERLINK \l "_Toc184600179" </w:instrText>
          </w:r>
          <w:r>
            <w:fldChar w:fldCharType="separate"/>
          </w:r>
          <w:r>
            <w:rPr>
              <w:rStyle w:val="21"/>
              <w:b/>
            </w:rPr>
            <w:t>5</w:t>
          </w:r>
          <w:r>
            <w:rPr>
              <w:rFonts w:asciiTheme="minorHAnsi" w:hAnsiTheme="minorHAnsi" w:eastAsiaTheme="minorEastAsia"/>
              <w:b w:val="0"/>
            </w:rPr>
            <w:tab/>
          </w:r>
          <w:r>
            <w:rPr>
              <w:rStyle w:val="21"/>
              <w:b/>
            </w:rPr>
            <w:t>标准主要编制内容和编制说明</w:t>
          </w:r>
          <w:r>
            <w:tab/>
          </w:r>
          <w:r>
            <w:fldChar w:fldCharType="begin"/>
          </w:r>
          <w:r>
            <w:instrText xml:space="preserve"> PAGEREF _Toc184600179 \h </w:instrText>
          </w:r>
          <w:r>
            <w:fldChar w:fldCharType="separate"/>
          </w:r>
          <w:r>
            <w:t>26</w:t>
          </w:r>
          <w:r>
            <w:fldChar w:fldCharType="end"/>
          </w:r>
          <w:r>
            <w:fldChar w:fldCharType="end"/>
          </w:r>
        </w:p>
        <w:p w14:paraId="113C5BD4">
          <w:pPr>
            <w:pStyle w:val="14"/>
            <w:tabs>
              <w:tab w:val="left" w:pos="1050"/>
              <w:tab w:val="right" w:leader="dot" w:pos="8296"/>
            </w:tabs>
            <w:rPr>
              <w:rFonts w:asciiTheme="minorHAnsi" w:hAnsiTheme="minorHAnsi" w:eastAsiaTheme="minorEastAsia"/>
            </w:rPr>
          </w:pPr>
          <w:r>
            <w:fldChar w:fldCharType="begin"/>
          </w:r>
          <w:r>
            <w:instrText xml:space="preserve"> HYPERLINK \l "_Toc184600180" </w:instrText>
          </w:r>
          <w:r>
            <w:fldChar w:fldCharType="separate"/>
          </w:r>
          <w:r>
            <w:rPr>
              <w:rStyle w:val="21"/>
            </w:rPr>
            <w:t>5.1</w:t>
          </w:r>
          <w:r>
            <w:rPr>
              <w:rFonts w:asciiTheme="minorHAnsi" w:hAnsiTheme="minorHAnsi" w:eastAsiaTheme="minorEastAsia"/>
            </w:rPr>
            <w:tab/>
          </w:r>
          <w:r>
            <w:rPr>
              <w:rStyle w:val="21"/>
            </w:rPr>
            <w:t>范围</w:t>
          </w:r>
          <w:r>
            <w:tab/>
          </w:r>
          <w:r>
            <w:fldChar w:fldCharType="begin"/>
          </w:r>
          <w:r>
            <w:instrText xml:space="preserve"> PAGEREF _Toc184600180 \h </w:instrText>
          </w:r>
          <w:r>
            <w:fldChar w:fldCharType="separate"/>
          </w:r>
          <w:r>
            <w:t>26</w:t>
          </w:r>
          <w:r>
            <w:fldChar w:fldCharType="end"/>
          </w:r>
          <w:r>
            <w:fldChar w:fldCharType="end"/>
          </w:r>
        </w:p>
        <w:p w14:paraId="539B86F7">
          <w:pPr>
            <w:pStyle w:val="14"/>
            <w:tabs>
              <w:tab w:val="left" w:pos="1050"/>
              <w:tab w:val="right" w:leader="dot" w:pos="8296"/>
            </w:tabs>
            <w:rPr>
              <w:rFonts w:asciiTheme="minorHAnsi" w:hAnsiTheme="minorHAnsi" w:eastAsiaTheme="minorEastAsia"/>
            </w:rPr>
          </w:pPr>
          <w:r>
            <w:fldChar w:fldCharType="begin"/>
          </w:r>
          <w:r>
            <w:instrText xml:space="preserve"> HYPERLINK \l "_Toc184600181" </w:instrText>
          </w:r>
          <w:r>
            <w:fldChar w:fldCharType="separate"/>
          </w:r>
          <w:r>
            <w:rPr>
              <w:rStyle w:val="21"/>
            </w:rPr>
            <w:t>5.2</w:t>
          </w:r>
          <w:r>
            <w:rPr>
              <w:rFonts w:asciiTheme="minorHAnsi" w:hAnsiTheme="minorHAnsi" w:eastAsiaTheme="minorEastAsia"/>
            </w:rPr>
            <w:tab/>
          </w:r>
          <w:r>
            <w:rPr>
              <w:rStyle w:val="21"/>
            </w:rPr>
            <w:t>术语和定义</w:t>
          </w:r>
          <w:r>
            <w:tab/>
          </w:r>
          <w:r>
            <w:fldChar w:fldCharType="begin"/>
          </w:r>
          <w:r>
            <w:instrText xml:space="preserve"> PAGEREF _Toc184600181 \h </w:instrText>
          </w:r>
          <w:r>
            <w:fldChar w:fldCharType="separate"/>
          </w:r>
          <w:r>
            <w:t>26</w:t>
          </w:r>
          <w:r>
            <w:fldChar w:fldCharType="end"/>
          </w:r>
          <w:r>
            <w:fldChar w:fldCharType="end"/>
          </w:r>
        </w:p>
        <w:p w14:paraId="10959F5B">
          <w:pPr>
            <w:pStyle w:val="14"/>
            <w:tabs>
              <w:tab w:val="left" w:pos="1050"/>
              <w:tab w:val="right" w:leader="dot" w:pos="8296"/>
            </w:tabs>
            <w:rPr>
              <w:rFonts w:asciiTheme="minorHAnsi" w:hAnsiTheme="minorHAnsi" w:eastAsiaTheme="minorEastAsia"/>
            </w:rPr>
          </w:pPr>
          <w:r>
            <w:fldChar w:fldCharType="begin"/>
          </w:r>
          <w:r>
            <w:instrText xml:space="preserve"> HYPERLINK \l "_Toc184600182" </w:instrText>
          </w:r>
          <w:r>
            <w:fldChar w:fldCharType="separate"/>
          </w:r>
          <w:r>
            <w:rPr>
              <w:rStyle w:val="21"/>
            </w:rPr>
            <w:t>5.3</w:t>
          </w:r>
          <w:r>
            <w:rPr>
              <w:rFonts w:asciiTheme="minorHAnsi" w:hAnsiTheme="minorHAnsi" w:eastAsiaTheme="minorEastAsia"/>
            </w:rPr>
            <w:tab/>
          </w:r>
          <w:r>
            <w:rPr>
              <w:rStyle w:val="21"/>
            </w:rPr>
            <w:t>技术要求</w:t>
          </w:r>
          <w:r>
            <w:tab/>
          </w:r>
          <w:r>
            <w:fldChar w:fldCharType="begin"/>
          </w:r>
          <w:r>
            <w:instrText xml:space="preserve"> PAGEREF _Toc184600182 \h </w:instrText>
          </w:r>
          <w:r>
            <w:fldChar w:fldCharType="separate"/>
          </w:r>
          <w:r>
            <w:t>26</w:t>
          </w:r>
          <w:r>
            <w:fldChar w:fldCharType="end"/>
          </w:r>
          <w:r>
            <w:fldChar w:fldCharType="end"/>
          </w:r>
        </w:p>
        <w:p w14:paraId="570F0F91">
          <w:pPr>
            <w:pStyle w:val="14"/>
            <w:tabs>
              <w:tab w:val="left" w:pos="1050"/>
              <w:tab w:val="right" w:leader="dot" w:pos="8296"/>
            </w:tabs>
            <w:rPr>
              <w:rFonts w:asciiTheme="minorHAnsi" w:hAnsiTheme="minorHAnsi" w:eastAsiaTheme="minorEastAsia"/>
            </w:rPr>
          </w:pPr>
          <w:r>
            <w:fldChar w:fldCharType="begin"/>
          </w:r>
          <w:r>
            <w:instrText xml:space="preserve"> HYPERLINK \l "_Toc184600183" </w:instrText>
          </w:r>
          <w:r>
            <w:fldChar w:fldCharType="separate"/>
          </w:r>
          <w:r>
            <w:rPr>
              <w:rStyle w:val="21"/>
            </w:rPr>
            <w:t>5.4</w:t>
          </w:r>
          <w:r>
            <w:rPr>
              <w:rFonts w:asciiTheme="minorHAnsi" w:hAnsiTheme="minorHAnsi" w:eastAsiaTheme="minorEastAsia"/>
            </w:rPr>
            <w:tab/>
          </w:r>
          <w:r>
            <w:rPr>
              <w:rStyle w:val="21"/>
            </w:rPr>
            <w:t>统计范围和计算方法</w:t>
          </w:r>
          <w:r>
            <w:tab/>
          </w:r>
          <w:r>
            <w:fldChar w:fldCharType="begin"/>
          </w:r>
          <w:r>
            <w:instrText xml:space="preserve"> PAGEREF _Toc184600183 \h </w:instrText>
          </w:r>
          <w:r>
            <w:fldChar w:fldCharType="separate"/>
          </w:r>
          <w:r>
            <w:t>27</w:t>
          </w:r>
          <w:r>
            <w:fldChar w:fldCharType="end"/>
          </w:r>
          <w:r>
            <w:fldChar w:fldCharType="end"/>
          </w:r>
        </w:p>
        <w:p w14:paraId="77D51FA3">
          <w:pPr>
            <w:pStyle w:val="13"/>
            <w:tabs>
              <w:tab w:val="left" w:pos="420"/>
              <w:tab w:val="right" w:leader="dot" w:pos="8296"/>
            </w:tabs>
            <w:rPr>
              <w:rFonts w:asciiTheme="minorHAnsi" w:hAnsiTheme="minorHAnsi" w:eastAsiaTheme="minorEastAsia"/>
              <w:b w:val="0"/>
            </w:rPr>
          </w:pPr>
          <w:r>
            <w:fldChar w:fldCharType="begin"/>
          </w:r>
          <w:r>
            <w:instrText xml:space="preserve"> HYPERLINK \l "_Toc184600184" </w:instrText>
          </w:r>
          <w:r>
            <w:fldChar w:fldCharType="separate"/>
          </w:r>
          <w:r>
            <w:rPr>
              <w:rStyle w:val="21"/>
              <w:b/>
            </w:rPr>
            <w:t>6</w:t>
          </w:r>
          <w:r>
            <w:rPr>
              <w:rFonts w:asciiTheme="minorHAnsi" w:hAnsiTheme="minorHAnsi" w:eastAsiaTheme="minorEastAsia"/>
              <w:b w:val="0"/>
            </w:rPr>
            <w:tab/>
          </w:r>
          <w:r>
            <w:rPr>
              <w:rStyle w:val="21"/>
              <w:b/>
            </w:rPr>
            <w:t>与国际、国外同类标准水平的对比情况</w:t>
          </w:r>
          <w:r>
            <w:tab/>
          </w:r>
          <w:r>
            <w:fldChar w:fldCharType="begin"/>
          </w:r>
          <w:r>
            <w:instrText xml:space="preserve"> PAGEREF _Toc184600184 \h </w:instrText>
          </w:r>
          <w:r>
            <w:fldChar w:fldCharType="separate"/>
          </w:r>
          <w:r>
            <w:t>27</w:t>
          </w:r>
          <w:r>
            <w:fldChar w:fldCharType="end"/>
          </w:r>
          <w:r>
            <w:fldChar w:fldCharType="end"/>
          </w:r>
        </w:p>
        <w:p w14:paraId="462BBAFB">
          <w:pPr>
            <w:pStyle w:val="13"/>
            <w:tabs>
              <w:tab w:val="left" w:pos="420"/>
              <w:tab w:val="right" w:leader="dot" w:pos="8296"/>
            </w:tabs>
            <w:rPr>
              <w:rFonts w:asciiTheme="minorHAnsi" w:hAnsiTheme="minorHAnsi" w:eastAsiaTheme="minorEastAsia"/>
              <w:b w:val="0"/>
            </w:rPr>
          </w:pPr>
          <w:r>
            <w:fldChar w:fldCharType="begin"/>
          </w:r>
          <w:r>
            <w:instrText xml:space="preserve"> HYPERLINK \l "_Toc184600185" </w:instrText>
          </w:r>
          <w:r>
            <w:fldChar w:fldCharType="separate"/>
          </w:r>
          <w:r>
            <w:rPr>
              <w:rStyle w:val="21"/>
              <w:b/>
            </w:rPr>
            <w:t>7</w:t>
          </w:r>
          <w:r>
            <w:rPr>
              <w:rFonts w:asciiTheme="minorHAnsi" w:hAnsiTheme="minorHAnsi" w:eastAsiaTheme="minorEastAsia"/>
              <w:b w:val="0"/>
            </w:rPr>
            <w:tab/>
          </w:r>
          <w:r>
            <w:rPr>
              <w:rStyle w:val="21"/>
              <w:b/>
            </w:rPr>
            <w:t>与现行法律、法规和强制性标准的关系</w:t>
          </w:r>
          <w:r>
            <w:tab/>
          </w:r>
          <w:r>
            <w:fldChar w:fldCharType="begin"/>
          </w:r>
          <w:r>
            <w:instrText xml:space="preserve"> PAGEREF _Toc184600185 \h </w:instrText>
          </w:r>
          <w:r>
            <w:fldChar w:fldCharType="separate"/>
          </w:r>
          <w:r>
            <w:t>27</w:t>
          </w:r>
          <w:r>
            <w:fldChar w:fldCharType="end"/>
          </w:r>
          <w:r>
            <w:fldChar w:fldCharType="end"/>
          </w:r>
        </w:p>
        <w:p w14:paraId="16B11850">
          <w:pPr>
            <w:pStyle w:val="13"/>
            <w:tabs>
              <w:tab w:val="left" w:pos="420"/>
              <w:tab w:val="right" w:leader="dot" w:pos="8296"/>
            </w:tabs>
            <w:rPr>
              <w:rFonts w:asciiTheme="minorHAnsi" w:hAnsiTheme="minorHAnsi" w:eastAsiaTheme="minorEastAsia"/>
              <w:b w:val="0"/>
            </w:rPr>
          </w:pPr>
          <w:r>
            <w:fldChar w:fldCharType="begin"/>
          </w:r>
          <w:r>
            <w:instrText xml:space="preserve"> HYPERLINK \l "_Toc184600186" </w:instrText>
          </w:r>
          <w:r>
            <w:fldChar w:fldCharType="separate"/>
          </w:r>
          <w:r>
            <w:rPr>
              <w:rStyle w:val="21"/>
              <w:b/>
            </w:rPr>
            <w:t>8</w:t>
          </w:r>
          <w:r>
            <w:rPr>
              <w:rFonts w:asciiTheme="minorHAnsi" w:hAnsiTheme="minorHAnsi" w:eastAsiaTheme="minorEastAsia"/>
              <w:b w:val="0"/>
            </w:rPr>
            <w:tab/>
          </w:r>
          <w:r>
            <w:rPr>
              <w:rStyle w:val="21"/>
              <w:b/>
            </w:rPr>
            <w:t>重大分歧意见的处理</w:t>
          </w:r>
          <w:r>
            <w:tab/>
          </w:r>
          <w:r>
            <w:fldChar w:fldCharType="begin"/>
          </w:r>
          <w:r>
            <w:instrText xml:space="preserve"> PAGEREF _Toc184600186 \h </w:instrText>
          </w:r>
          <w:r>
            <w:fldChar w:fldCharType="separate"/>
          </w:r>
          <w:r>
            <w:t>27</w:t>
          </w:r>
          <w:r>
            <w:fldChar w:fldCharType="end"/>
          </w:r>
          <w:r>
            <w:fldChar w:fldCharType="end"/>
          </w:r>
        </w:p>
        <w:p w14:paraId="22FE6279">
          <w:pPr>
            <w:pStyle w:val="13"/>
            <w:tabs>
              <w:tab w:val="left" w:pos="420"/>
              <w:tab w:val="right" w:leader="dot" w:pos="8296"/>
            </w:tabs>
            <w:rPr>
              <w:rFonts w:asciiTheme="minorHAnsi" w:hAnsiTheme="minorHAnsi" w:eastAsiaTheme="minorEastAsia"/>
              <w:b w:val="0"/>
            </w:rPr>
          </w:pPr>
          <w:r>
            <w:fldChar w:fldCharType="begin"/>
          </w:r>
          <w:r>
            <w:instrText xml:space="preserve"> HYPERLINK \l "_Toc184600187" </w:instrText>
          </w:r>
          <w:r>
            <w:fldChar w:fldCharType="separate"/>
          </w:r>
          <w:r>
            <w:rPr>
              <w:rStyle w:val="21"/>
              <w:b/>
            </w:rPr>
            <w:t>9</w:t>
          </w:r>
          <w:r>
            <w:rPr>
              <w:rFonts w:asciiTheme="minorHAnsi" w:hAnsiTheme="minorHAnsi" w:eastAsiaTheme="minorEastAsia"/>
              <w:b w:val="0"/>
            </w:rPr>
            <w:tab/>
          </w:r>
          <w:r>
            <w:rPr>
              <w:rStyle w:val="21"/>
              <w:b/>
            </w:rPr>
            <w:t>其他应予以说明的事项</w:t>
          </w:r>
          <w:r>
            <w:tab/>
          </w:r>
          <w:r>
            <w:fldChar w:fldCharType="begin"/>
          </w:r>
          <w:r>
            <w:instrText xml:space="preserve"> PAGEREF _Toc184600187 \h </w:instrText>
          </w:r>
          <w:r>
            <w:fldChar w:fldCharType="separate"/>
          </w:r>
          <w:r>
            <w:t>27</w:t>
          </w:r>
          <w:r>
            <w:fldChar w:fldCharType="end"/>
          </w:r>
          <w:r>
            <w:fldChar w:fldCharType="end"/>
          </w:r>
        </w:p>
        <w:p w14:paraId="5737FF86">
          <w:pPr>
            <w:snapToGrid w:val="0"/>
            <w:spacing w:line="360" w:lineRule="auto"/>
            <w:rPr>
              <w:rFonts w:ascii="Times New Roman" w:hAnsi="Times New Roman" w:cs="Times New Roman"/>
            </w:rPr>
          </w:pPr>
          <w:r>
            <w:rPr>
              <w:rFonts w:ascii="Times New Roman" w:hAnsi="Times New Roman" w:eastAsia="宋体" w:cs="Times New Roman"/>
              <w:bCs/>
              <w:szCs w:val="24"/>
              <w:lang w:val="zh-CN"/>
            </w:rPr>
            <w:fldChar w:fldCharType="end"/>
          </w:r>
        </w:p>
      </w:sdtContent>
    </w:sdt>
    <w:p w14:paraId="62525B5D">
      <w:pPr>
        <w:pStyle w:val="23"/>
        <w:ind w:firstLine="480"/>
        <w:rPr>
          <w:rFonts w:cs="Times New Roman"/>
        </w:rPr>
        <w:sectPr>
          <w:footerReference r:id="rId4" w:type="default"/>
          <w:pgSz w:w="11906" w:h="16838"/>
          <w:pgMar w:top="1440" w:right="1800" w:bottom="1440" w:left="1800" w:header="851" w:footer="992" w:gutter="0"/>
          <w:pgNumType w:fmt="upperRoman" w:start="1"/>
          <w:cols w:space="425" w:num="1"/>
          <w:docGrid w:type="lines" w:linePitch="312" w:charSpace="0"/>
        </w:sectPr>
      </w:pPr>
    </w:p>
    <w:p w14:paraId="6E71584B">
      <w:pPr>
        <w:pStyle w:val="2"/>
        <w:spacing w:before="156" w:after="156"/>
      </w:pPr>
      <w:bookmarkStart w:id="1" w:name="_Toc184600159"/>
      <w:r>
        <w:t>项目背景</w:t>
      </w:r>
      <w:bookmarkEnd w:id="1"/>
    </w:p>
    <w:p w14:paraId="0D552DCF">
      <w:pPr>
        <w:pStyle w:val="3"/>
        <w:spacing w:before="156" w:after="156"/>
      </w:pPr>
      <w:bookmarkStart w:id="2" w:name="_Toc184600160"/>
      <w:r>
        <w:t>任务来源</w:t>
      </w:r>
      <w:bookmarkEnd w:id="2"/>
    </w:p>
    <w:p w14:paraId="17CB1BB8">
      <w:pPr>
        <w:pStyle w:val="23"/>
        <w:ind w:firstLine="480"/>
        <w:rPr>
          <w:rStyle w:val="24"/>
          <w:rFonts w:cs="Times New Roman"/>
        </w:rPr>
      </w:pPr>
      <w:r>
        <w:rPr>
          <w:rFonts w:cs="Times New Roman"/>
          <w:szCs w:val="24"/>
        </w:rPr>
        <w:t>为深入贯彻落实党中央、国务院关于碳达峰碳中和决策部署，加快推进工业绿色低碳转型，切实做好工业领域碳达峰工作，根据《中共中央国务院关于完整准确全面贯彻新发展理念做好碳达峰碳中和工作的意见》和《2030年前碳达峰行动方案》，结合相关规划，工信部、国家发改委、生态环境部联合制定了《工业领域碳达峰实施方案》。方案提出，“十五五”期间，产业结构布局进一步优化，工业能耗强度、二氧化碳排放强度持续下降，努力达峰削峰，在实现工业领域碳达峰的基础上强化碳中和能力，基本建立以高效、绿色、循环、低碳为重要特征的现代工业体系。国家发改委2024年发布了《</w:t>
      </w:r>
      <w:r>
        <w:rPr>
          <w:rStyle w:val="24"/>
          <w:rFonts w:cs="Times New Roman"/>
        </w:rPr>
        <w:t>关于加强煤炭清洁高效利用的意见</w:t>
      </w:r>
      <w:r>
        <w:rPr>
          <w:rFonts w:cs="Times New Roman"/>
          <w:szCs w:val="24"/>
        </w:rPr>
        <w:t>》，到2030年，煤炭绿色智能开发能力明显增强，生产能耗强度逐步下降，储运结构持续优化，商品煤质量稳步提高，重点领域用煤效能和清洁化水平全面提升，与生态优先、节约集约、绿色低碳发展相适应的煤炭清洁高效利用体系基本建成。2023年，国家发展改革委、工业和信息化部、自然资源部、生态环境部、水利部、应急管理部联合发布《关于推动现代煤化工产业健康发展的通知》，提出严格控制新增煤炭消费量，优化产业布局，鼓励技术创新和绿色低碳技术应用，强化安全环保监管，并明确了各相关部门和企业的责任分工，以确保现代煤化工产业的健康发展。基于此，</w:t>
      </w:r>
      <w:r>
        <w:rPr>
          <w:rStyle w:val="24"/>
          <w:rFonts w:cs="Times New Roman"/>
        </w:rPr>
        <w:t>标准编制组编制了煤化工行业碳捕集项目评价指南，为煤化工行业碳减排提供支撑。</w:t>
      </w:r>
    </w:p>
    <w:p w14:paraId="65F31A30">
      <w:pPr>
        <w:pStyle w:val="3"/>
        <w:spacing w:before="156" w:after="156"/>
      </w:pPr>
      <w:bookmarkStart w:id="3" w:name="_Toc184600161"/>
      <w:r>
        <w:t>主要工作过程</w:t>
      </w:r>
      <w:bookmarkEnd w:id="3"/>
    </w:p>
    <w:p w14:paraId="3A40940E">
      <w:pPr>
        <w:pStyle w:val="23"/>
        <w:ind w:firstLine="480"/>
        <w:rPr>
          <w:rFonts w:cs="Times New Roman"/>
        </w:rPr>
      </w:pPr>
      <w:r>
        <w:rPr>
          <w:rFonts w:cs="Times New Roman"/>
        </w:rPr>
        <w:t>本标准由中国化工节能技术协会提出并组织制定，编制单位有标准牵头单位生态环境部环境工程评估中心，主编单位生态环境部环境工程评估中心、北京低碳清洁能源研究院、中国寰球工程有限公司、北京科技大学、西安昱昌环境科技有限公司、北京纳思利万环保科技有限公司、北京中环智云生态环境科技有限公司。编制单位组织有关人员成立标准制定工作组，本标准于2023年4月启动编制。</w:t>
      </w:r>
    </w:p>
    <w:p w14:paraId="5A7CB726">
      <w:pPr>
        <w:pStyle w:val="23"/>
        <w:ind w:firstLine="480"/>
        <w:rPr>
          <w:rFonts w:cs="Times New Roman"/>
        </w:rPr>
      </w:pPr>
      <w:r>
        <w:rPr>
          <w:rFonts w:cs="Times New Roman"/>
        </w:rPr>
        <w:t>主要的工作过程如下：</w:t>
      </w:r>
    </w:p>
    <w:p w14:paraId="7D8B1361">
      <w:pPr>
        <w:pStyle w:val="23"/>
        <w:numPr>
          <w:ilvl w:val="0"/>
          <w:numId w:val="0"/>
        </w:numPr>
        <w:ind w:left="900" w:leftChars="0" w:hanging="420" w:firstLineChars="0"/>
        <w:rPr>
          <w:rFonts w:cs="Times New Roman"/>
        </w:rPr>
      </w:pPr>
      <w:r>
        <w:rPr>
          <w:rFonts w:ascii="Times New Roman" w:hAnsi="Times New Roman" w:eastAsia="宋体" w:cs="Times New Roman"/>
          <w:kern w:val="2"/>
          <w:sz w:val="24"/>
          <w:szCs w:val="20"/>
          <w:lang w:val="en-US" w:eastAsia="zh-CN" w:bidi="ar-SA"/>
        </w:rPr>
        <w:t>（1）</w:t>
      </w:r>
      <w:r>
        <w:rPr>
          <w:rStyle w:val="24"/>
          <w:rFonts w:cs="Times New Roman"/>
        </w:rPr>
        <w:t>煤化工行业碳捕集项目评价</w:t>
      </w:r>
      <w:r>
        <w:rPr>
          <w:rFonts w:cs="Times New Roman"/>
        </w:rPr>
        <w:t>体系调研</w:t>
      </w:r>
    </w:p>
    <w:p w14:paraId="5B7363A0">
      <w:pPr>
        <w:pStyle w:val="23"/>
        <w:ind w:firstLine="480"/>
        <w:rPr>
          <w:rFonts w:cs="Times New Roman"/>
        </w:rPr>
      </w:pPr>
      <w:r>
        <w:rPr>
          <w:rStyle w:val="24"/>
          <w:rFonts w:cs="Times New Roman"/>
        </w:rPr>
        <w:t>2023年4月~2023年7月，调研收集了煤化工项目可研报告及文献资料，对煤化</w:t>
      </w:r>
      <w:r>
        <w:rPr>
          <w:rFonts w:cs="Times New Roman"/>
        </w:rPr>
        <w:t>工项目碳</w:t>
      </w:r>
      <w:r>
        <w:rPr>
          <w:rFonts w:hint="eastAsia" w:cs="Times New Roman"/>
        </w:rPr>
        <w:t>捕集</w:t>
      </w:r>
      <w:r>
        <w:rPr>
          <w:rFonts w:cs="Times New Roman"/>
        </w:rPr>
        <w:t>情况进行了调查研究，编制了煤化工项目碳</w:t>
      </w:r>
      <w:r>
        <w:rPr>
          <w:rFonts w:hint="eastAsia" w:cs="Times New Roman"/>
        </w:rPr>
        <w:t>排放</w:t>
      </w:r>
      <w:r>
        <w:rPr>
          <w:rFonts w:cs="Times New Roman"/>
        </w:rPr>
        <w:t>量及</w:t>
      </w:r>
      <w:r>
        <w:rPr>
          <w:rFonts w:hint="eastAsia" w:cs="Times New Roman"/>
        </w:rPr>
        <w:t>捕集量</w:t>
      </w:r>
      <w:r>
        <w:rPr>
          <w:rFonts w:cs="Times New Roman"/>
        </w:rPr>
        <w:t>组成调查表，形成了煤化工项目碳捕集评价初稿。</w:t>
      </w:r>
    </w:p>
    <w:p w14:paraId="74C1E6D6">
      <w:pPr>
        <w:pStyle w:val="23"/>
        <w:ind w:firstLine="480"/>
        <w:rPr>
          <w:rStyle w:val="24"/>
          <w:rFonts w:cs="Times New Roman"/>
        </w:rPr>
      </w:pPr>
      <w:r>
        <w:rPr>
          <w:rFonts w:cs="Times New Roman"/>
        </w:rPr>
        <w:t>2023年9月8日，召开了</w:t>
      </w:r>
      <w:r>
        <w:rPr>
          <w:rFonts w:hint="eastAsia" w:cs="Times New Roman"/>
          <w:lang w:eastAsia="zh-CN"/>
        </w:rPr>
        <w:t>内部</w:t>
      </w:r>
      <w:r>
        <w:rPr>
          <w:rStyle w:val="24"/>
          <w:rFonts w:cs="Times New Roman"/>
        </w:rPr>
        <w:t>煤化工行业碳捕集项目</w:t>
      </w:r>
      <w:r>
        <w:rPr>
          <w:rFonts w:cs="Times New Roman"/>
        </w:rPr>
        <w:t>开题论证。</w:t>
      </w:r>
    </w:p>
    <w:p w14:paraId="4DC1874B">
      <w:pPr>
        <w:pStyle w:val="23"/>
        <w:ind w:firstLine="480"/>
        <w:rPr>
          <w:rFonts w:cs="Times New Roman"/>
        </w:rPr>
      </w:pPr>
      <w:r>
        <w:rPr>
          <w:rStyle w:val="24"/>
          <w:rFonts w:cs="Times New Roman"/>
        </w:rPr>
        <w:t>2023年7月~2023年10月，调研了内蒙古、陕西、新疆、宁夏和4个省约31家现代煤化工企业，对碳</w:t>
      </w:r>
      <w:r>
        <w:rPr>
          <w:rStyle w:val="24"/>
          <w:rFonts w:hint="eastAsia" w:cs="Times New Roman"/>
        </w:rPr>
        <w:t>捕集</w:t>
      </w:r>
      <w:r>
        <w:rPr>
          <w:rStyle w:val="24"/>
          <w:rFonts w:cs="Times New Roman"/>
        </w:rPr>
        <w:t>工艺、</w:t>
      </w:r>
      <w:r>
        <w:rPr>
          <w:rStyle w:val="24"/>
          <w:rFonts w:hint="eastAsia" w:cs="Times New Roman"/>
        </w:rPr>
        <w:t>捕集</w:t>
      </w:r>
      <w:r>
        <w:rPr>
          <w:rStyle w:val="24"/>
          <w:rFonts w:cs="Times New Roman"/>
        </w:rPr>
        <w:t>点、</w:t>
      </w:r>
      <w:r>
        <w:rPr>
          <w:rStyle w:val="24"/>
          <w:rFonts w:hint="eastAsia" w:cs="Times New Roman"/>
        </w:rPr>
        <w:t>捕集</w:t>
      </w:r>
      <w:r>
        <w:rPr>
          <w:rStyle w:val="24"/>
          <w:rFonts w:cs="Times New Roman"/>
        </w:rPr>
        <w:t>规模进行了系统梳理。</w:t>
      </w:r>
    </w:p>
    <w:p w14:paraId="14702349">
      <w:pPr>
        <w:pStyle w:val="23"/>
        <w:numPr>
          <w:ilvl w:val="0"/>
          <w:numId w:val="0"/>
        </w:numPr>
        <w:ind w:left="900" w:leftChars="0" w:hanging="420" w:firstLineChars="0"/>
        <w:rPr>
          <w:rFonts w:cs="Times New Roman"/>
        </w:rPr>
      </w:pPr>
      <w:r>
        <w:rPr>
          <w:rFonts w:ascii="Times New Roman" w:hAnsi="Times New Roman" w:eastAsia="宋体" w:cs="Times New Roman"/>
          <w:kern w:val="2"/>
          <w:sz w:val="24"/>
          <w:szCs w:val="20"/>
          <w:lang w:val="en-US" w:eastAsia="zh-CN" w:bidi="ar-SA"/>
        </w:rPr>
        <w:t>（2）</w:t>
      </w:r>
      <w:r>
        <w:rPr>
          <w:rFonts w:cs="Times New Roman"/>
        </w:rPr>
        <w:t>标准草案的编制与讨论</w:t>
      </w:r>
      <w:bookmarkStart w:id="32" w:name="_GoBack"/>
      <w:bookmarkEnd w:id="32"/>
    </w:p>
    <w:p w14:paraId="2D067599">
      <w:pPr>
        <w:pStyle w:val="23"/>
        <w:ind w:firstLine="480"/>
        <w:rPr>
          <w:rStyle w:val="24"/>
          <w:rFonts w:cs="Times New Roman"/>
        </w:rPr>
      </w:pPr>
      <w:r>
        <w:rPr>
          <w:rStyle w:val="24"/>
          <w:rFonts w:cs="Times New Roman"/>
        </w:rPr>
        <w:t>2023年11月~2024年8月，工作组根据前期调研和资料分析，</w:t>
      </w:r>
      <w:r>
        <w:rPr>
          <w:rFonts w:cs="Times New Roman"/>
          <w:szCs w:val="21"/>
        </w:rPr>
        <w:t>了解产业的发展现状和需求。经标准编制工作组的充分调研和反复讨论，</w:t>
      </w:r>
      <w:r>
        <w:rPr>
          <w:rStyle w:val="24"/>
          <w:rFonts w:cs="Times New Roman"/>
        </w:rPr>
        <w:t>初步完成了标准草案的编制。</w:t>
      </w:r>
      <w:r>
        <w:rPr>
          <w:rFonts w:cs="Times New Roman"/>
          <w:szCs w:val="21"/>
        </w:rPr>
        <w:t>标准编制工作组</w:t>
      </w:r>
      <w:r>
        <w:rPr>
          <w:rStyle w:val="24"/>
          <w:rFonts w:cs="Times New Roman"/>
        </w:rPr>
        <w:t>邀请相关专家对标准草案进行讨论并进行修改完善工作，形成标准征求意见稿初稿。</w:t>
      </w:r>
    </w:p>
    <w:p w14:paraId="33B60FF6">
      <w:pPr>
        <w:pStyle w:val="23"/>
        <w:numPr>
          <w:ilvl w:val="0"/>
          <w:numId w:val="0"/>
        </w:numPr>
        <w:ind w:firstLine="480" w:firstLineChars="200"/>
        <w:rPr>
          <w:rFonts w:hint="default"/>
          <w:lang w:val="en-US" w:eastAsia="zh-CN"/>
        </w:rPr>
      </w:pPr>
      <w:r>
        <w:rPr>
          <w:rStyle w:val="24"/>
          <w:rFonts w:hint="eastAsia" w:cs="Times New Roman"/>
          <w:lang w:eastAsia="zh-CN"/>
        </w:rPr>
        <w:t>（</w:t>
      </w:r>
      <w:r>
        <w:rPr>
          <w:rStyle w:val="24"/>
          <w:rFonts w:hint="eastAsia" w:cs="Times New Roman"/>
          <w:lang w:val="en-US" w:eastAsia="zh-CN"/>
        </w:rPr>
        <w:t>3）</w:t>
      </w:r>
      <w:r>
        <w:rPr>
          <w:rFonts w:hint="eastAsia"/>
          <w:lang w:val="en-US" w:eastAsia="zh-CN"/>
        </w:rPr>
        <w:t>开题论证(2024年11月8日）</w:t>
      </w:r>
    </w:p>
    <w:p w14:paraId="5B4ED7BA">
      <w:pPr>
        <w:pStyle w:val="23"/>
        <w:ind w:firstLine="480"/>
      </w:pPr>
      <w:r>
        <w:rPr>
          <w:rFonts w:hint="eastAsia"/>
          <w:lang w:val="en-US" w:eastAsia="zh-CN"/>
        </w:rPr>
        <w:t xml:space="preserve"> 中国化工节能技术协会</w:t>
      </w:r>
      <w:r>
        <w:rPr>
          <w:rFonts w:hint="eastAsia"/>
          <w:lang w:eastAsia="zh-CN"/>
        </w:rPr>
        <w:t>组织召开</w:t>
      </w:r>
      <w:r>
        <w:rPr>
          <w:rFonts w:hint="eastAsia"/>
        </w:rPr>
        <w:t>了炼油行业碳捕集评价指南的</w:t>
      </w:r>
      <w:r>
        <w:rPr>
          <w:rFonts w:hint="eastAsia"/>
          <w:lang w:eastAsia="zh-CN"/>
        </w:rPr>
        <w:t>内部</w:t>
      </w:r>
      <w:r>
        <w:rPr>
          <w:rFonts w:hint="eastAsia"/>
        </w:rPr>
        <w:t>开题论证会议，标志着炼油行业碳捕集技术研究的正式启动。</w:t>
      </w:r>
    </w:p>
    <w:p w14:paraId="6BDA2C65">
      <w:pPr>
        <w:pStyle w:val="23"/>
        <w:numPr>
          <w:ilvl w:val="0"/>
          <w:numId w:val="0"/>
        </w:numPr>
        <w:ind w:left="900" w:leftChars="0" w:hanging="420" w:firstLineChars="0"/>
        <w:rPr>
          <w:rStyle w:val="24"/>
          <w:rFonts w:cs="Times New Roman"/>
        </w:rPr>
      </w:pPr>
      <w:r>
        <w:rPr>
          <w:rFonts w:ascii="Times New Roman" w:hAnsi="Times New Roman" w:eastAsia="宋体" w:cs="Times New Roman"/>
          <w:kern w:val="2"/>
          <w:sz w:val="24"/>
          <w:szCs w:val="20"/>
          <w:lang w:val="en-US" w:eastAsia="zh-CN" w:bidi="ar-SA"/>
        </w:rPr>
        <w:t>（</w:t>
      </w:r>
      <w:r>
        <w:rPr>
          <w:rFonts w:hint="eastAsia" w:cs="Times New Roman"/>
          <w:kern w:val="2"/>
          <w:sz w:val="24"/>
          <w:szCs w:val="20"/>
          <w:lang w:val="en-US" w:eastAsia="zh-CN" w:bidi="ar-SA"/>
        </w:rPr>
        <w:t>4</w:t>
      </w:r>
      <w:r>
        <w:rPr>
          <w:rFonts w:ascii="Times New Roman" w:hAnsi="Times New Roman" w:eastAsia="宋体" w:cs="Times New Roman"/>
          <w:kern w:val="2"/>
          <w:sz w:val="24"/>
          <w:szCs w:val="20"/>
          <w:lang w:val="en-US" w:eastAsia="zh-CN" w:bidi="ar-SA"/>
        </w:rPr>
        <w:t>）</w:t>
      </w:r>
      <w:r>
        <w:rPr>
          <w:rFonts w:cs="Times New Roman"/>
        </w:rPr>
        <w:t>标准</w:t>
      </w:r>
      <w:r>
        <w:rPr>
          <w:rStyle w:val="24"/>
          <w:rFonts w:cs="Times New Roman"/>
        </w:rPr>
        <w:t>征求意见稿审查会</w:t>
      </w:r>
    </w:p>
    <w:p w14:paraId="2BE61947">
      <w:pPr>
        <w:pStyle w:val="23"/>
        <w:ind w:firstLine="480"/>
        <w:rPr>
          <w:rFonts w:cs="Times New Roman"/>
        </w:rPr>
      </w:pPr>
      <w:r>
        <w:rPr>
          <w:rFonts w:cs="Times New Roman"/>
        </w:rPr>
        <w:t>2024年11月14日，邀请行业专家召开标准征求意见稿审查会，并通过评审。</w:t>
      </w:r>
    </w:p>
    <w:p w14:paraId="35647290">
      <w:pPr>
        <w:pStyle w:val="2"/>
        <w:spacing w:before="156" w:after="156"/>
      </w:pPr>
      <w:bookmarkStart w:id="4" w:name="_Toc184600162"/>
      <w:r>
        <w:t>标准制定的必要性和意义</w:t>
      </w:r>
      <w:bookmarkEnd w:id="4"/>
    </w:p>
    <w:p w14:paraId="698BD9DF">
      <w:pPr>
        <w:pStyle w:val="23"/>
        <w:ind w:firstLine="480"/>
        <w:rPr>
          <w:rFonts w:cs="Times New Roman"/>
        </w:rPr>
      </w:pPr>
      <w:r>
        <w:rPr>
          <w:rFonts w:cs="Times New Roman"/>
        </w:rPr>
        <w:t>现代煤化工产业作为近年发展起来的新型化工产业，对保障国家能源安全有重要作用，是煤炭清洁高效利用的途径之一，但其二氧化碳排放量大、排放的二氧化碳浓度高、压力大，碳捕集贡献亦不可忽视。</w:t>
      </w:r>
    </w:p>
    <w:p w14:paraId="35323EDE">
      <w:pPr>
        <w:pStyle w:val="23"/>
        <w:ind w:firstLine="480"/>
        <w:rPr>
          <w:rFonts w:cs="Times New Roman"/>
        </w:rPr>
      </w:pPr>
      <w:r>
        <w:rPr>
          <w:rFonts w:cs="Times New Roman"/>
        </w:rPr>
        <w:t>标准是经济活动和社会发展的重要支撑，做好碳核算和碳捕集标准的研制工作，</w:t>
      </w:r>
      <w:r>
        <w:rPr>
          <w:rFonts w:cs="Times New Roman"/>
          <w:b/>
          <w:bCs/>
          <w:shd w:val="clear" w:color="auto" w:fill="FFFFFF"/>
        </w:rPr>
        <w:t>突出标准引领作用，</w:t>
      </w:r>
      <w:r>
        <w:rPr>
          <w:rFonts w:cs="Times New Roman"/>
          <w:b/>
          <w:bCs/>
        </w:rPr>
        <w:t>充分发挥碳捕集标准系统协调与整体推进作用，能够有效推动我国低碳发展</w:t>
      </w:r>
      <w:r>
        <w:rPr>
          <w:rFonts w:cs="Times New Roman"/>
        </w:rPr>
        <w:t>。现代煤化工行业作为CO</w:t>
      </w:r>
      <w:r>
        <w:rPr>
          <w:rFonts w:cs="Times New Roman"/>
          <w:vertAlign w:val="subscript"/>
        </w:rPr>
        <w:t>2</w:t>
      </w:r>
      <w:r>
        <w:rPr>
          <w:rFonts w:cs="Times New Roman"/>
        </w:rPr>
        <w:t>高排放行业，更应该贯彻落实《中共中央国务院关于完整准确全面贯彻新发展理念做好碳达峰碳中和工作的意见》和《关于开展重点行业建设项目碳排放环境影响评价试点的通知》的（环办环评函〔2021〕346号）要求，积极开展碳捕集标准制订工作，有效遏制“两高”项目盲目发展，支撑现代煤化工企业或项目的控碳方案的比选，推动现代煤化工行业绿色低碳转型、引领推进高质量发展，确保如期实现碳达峰目标。</w:t>
      </w:r>
    </w:p>
    <w:p w14:paraId="1183306D">
      <w:pPr>
        <w:pStyle w:val="23"/>
        <w:ind w:firstLine="480"/>
        <w:rPr>
          <w:rFonts w:cs="Times New Roman"/>
          <w:shd w:val="clear" w:color="auto" w:fill="FFFFFF"/>
        </w:rPr>
      </w:pPr>
      <w:r>
        <w:rPr>
          <w:rFonts w:cs="Times New Roman"/>
          <w:shd w:val="clear" w:color="auto" w:fill="FFFFFF"/>
        </w:rPr>
        <w:t>本文件给出了</w:t>
      </w:r>
      <w:r>
        <w:rPr>
          <w:rFonts w:hint="eastAsia" w:cs="Times New Roman"/>
          <w:shd w:val="clear" w:color="auto" w:fill="FFFFFF"/>
        </w:rPr>
        <w:t>典型</w:t>
      </w:r>
      <w:r>
        <w:rPr>
          <w:rFonts w:cs="Times New Roman"/>
          <w:shd w:val="clear" w:color="auto" w:fill="FFFFFF"/>
        </w:rPr>
        <w:t>现代煤化工CO</w:t>
      </w:r>
      <w:r>
        <w:rPr>
          <w:rFonts w:cs="Times New Roman"/>
          <w:shd w:val="clear" w:color="auto" w:fill="FFFFFF"/>
          <w:vertAlign w:val="subscript"/>
        </w:rPr>
        <w:t>2</w:t>
      </w:r>
      <w:r>
        <w:rPr>
          <w:rFonts w:cs="Times New Roman"/>
          <w:shd w:val="clear" w:color="auto" w:fill="FFFFFF"/>
        </w:rPr>
        <w:t>捕集</w:t>
      </w:r>
      <w:r>
        <w:rPr>
          <w:rFonts w:hint="eastAsia" w:cs="Times New Roman"/>
          <w:shd w:val="clear" w:color="auto" w:fill="FFFFFF"/>
        </w:rPr>
        <w:t>工艺评价指南</w:t>
      </w:r>
      <w:r>
        <w:rPr>
          <w:rFonts w:cs="Times New Roman"/>
          <w:shd w:val="clear" w:color="auto" w:fill="FFFFFF"/>
        </w:rPr>
        <w:t>，</w:t>
      </w:r>
      <w:r>
        <w:rPr>
          <w:rFonts w:hint="eastAsia" w:cs="Times New Roman"/>
          <w:shd w:val="clear" w:color="auto" w:fill="FFFFFF"/>
        </w:rPr>
        <w:t>指标</w:t>
      </w:r>
      <w:r>
        <w:rPr>
          <w:rFonts w:cs="Times New Roman"/>
          <w:shd w:val="clear" w:color="auto" w:fill="FFFFFF"/>
        </w:rPr>
        <w:t>包括CO</w:t>
      </w:r>
      <w:r>
        <w:rPr>
          <w:rFonts w:cs="Times New Roman"/>
          <w:shd w:val="clear" w:color="auto" w:fill="FFFFFF"/>
          <w:vertAlign w:val="subscript"/>
        </w:rPr>
        <w:t>2</w:t>
      </w:r>
      <w:r>
        <w:rPr>
          <w:rFonts w:cs="Times New Roman"/>
          <w:shd w:val="clear" w:color="auto" w:fill="FFFFFF"/>
        </w:rPr>
        <w:t>捕集率、CO</w:t>
      </w:r>
      <w:r>
        <w:rPr>
          <w:rFonts w:cs="Times New Roman"/>
          <w:shd w:val="clear" w:color="auto" w:fill="FFFFFF"/>
          <w:vertAlign w:val="subscript"/>
        </w:rPr>
        <w:t>2</w:t>
      </w:r>
      <w:r>
        <w:rPr>
          <w:rFonts w:cs="Times New Roman"/>
          <w:shd w:val="clear" w:color="auto" w:fill="FFFFFF"/>
        </w:rPr>
        <w:t>产品纯度、捕集能耗和再生能耗。按照气源中CO</w:t>
      </w:r>
      <w:r>
        <w:rPr>
          <w:rFonts w:cs="Times New Roman"/>
          <w:shd w:val="clear" w:color="auto" w:fill="FFFFFF"/>
          <w:vertAlign w:val="subscript"/>
        </w:rPr>
        <w:t>2</w:t>
      </w:r>
      <w:r>
        <w:rPr>
          <w:rFonts w:cs="Times New Roman"/>
          <w:shd w:val="clear" w:color="auto" w:fill="FFFFFF"/>
        </w:rPr>
        <w:t>浓度不同，分为高、低浓度碳捕集技术水平分级，每个技术指标分为三级，其中1级指标为鼓励性指标。</w:t>
      </w:r>
    </w:p>
    <w:p w14:paraId="70E58AC1">
      <w:pPr>
        <w:pStyle w:val="23"/>
        <w:ind w:firstLine="480"/>
        <w:rPr>
          <w:rFonts w:cs="Times New Roman"/>
          <w:shd w:val="clear" w:color="auto" w:fill="FFFFFF"/>
        </w:rPr>
      </w:pPr>
      <w:r>
        <w:rPr>
          <w:rFonts w:cs="Times New Roman"/>
          <w:shd w:val="clear" w:color="auto" w:fill="FFFFFF"/>
        </w:rPr>
        <w:t>1级指标为领先水平；</w:t>
      </w:r>
    </w:p>
    <w:p w14:paraId="3109010E">
      <w:pPr>
        <w:pStyle w:val="23"/>
        <w:ind w:firstLine="480"/>
        <w:rPr>
          <w:rFonts w:cs="Times New Roman"/>
          <w:shd w:val="clear" w:color="auto" w:fill="FFFFFF"/>
        </w:rPr>
      </w:pPr>
      <w:r>
        <w:rPr>
          <w:rFonts w:cs="Times New Roman"/>
          <w:shd w:val="clear" w:color="auto" w:fill="FFFFFF"/>
        </w:rPr>
        <w:t>2级指标为先进水平；</w:t>
      </w:r>
    </w:p>
    <w:p w14:paraId="6CBF442C">
      <w:pPr>
        <w:pStyle w:val="23"/>
        <w:ind w:firstLine="480"/>
        <w:rPr>
          <w:rFonts w:cs="Times New Roman"/>
          <w:shd w:val="clear" w:color="auto" w:fill="FFFFFF"/>
        </w:rPr>
      </w:pPr>
      <w:r>
        <w:rPr>
          <w:rFonts w:cs="Times New Roman"/>
          <w:shd w:val="clear" w:color="auto" w:fill="FFFFFF"/>
        </w:rPr>
        <w:t>3级指标为基本水平。</w:t>
      </w:r>
    </w:p>
    <w:p w14:paraId="22559532">
      <w:pPr>
        <w:pStyle w:val="23"/>
        <w:ind w:firstLine="480"/>
      </w:pPr>
      <w:r>
        <w:rPr>
          <w:rFonts w:hint="eastAsia"/>
        </w:rPr>
        <w:t>高浓度</w:t>
      </w:r>
      <w:r>
        <w:t>碳捕集技术评价指标见表1。</w:t>
      </w:r>
    </w:p>
    <w:p w14:paraId="24F082ED">
      <w:pPr>
        <w:pStyle w:val="28"/>
      </w:pPr>
      <w:r>
        <w:t>表</w:t>
      </w:r>
      <w:r>
        <w:fldChar w:fldCharType="begin"/>
      </w:r>
      <w:r>
        <w:instrText xml:space="preserve"> SEQ 表 \* ARABIC </w:instrText>
      </w:r>
      <w:r>
        <w:fldChar w:fldCharType="separate"/>
      </w:r>
      <w:r>
        <w:t>1</w:t>
      </w:r>
      <w:r>
        <w:fldChar w:fldCharType="end"/>
      </w:r>
      <w:r>
        <w:t xml:space="preserve"> </w:t>
      </w:r>
      <w:r>
        <w:rPr>
          <w:rFonts w:hint="eastAsia"/>
        </w:rPr>
        <w:t>高浓度（CO</w:t>
      </w:r>
      <w:r>
        <w:rPr>
          <w:rFonts w:hint="eastAsia"/>
          <w:vertAlign w:val="subscript"/>
        </w:rPr>
        <w:t>2</w:t>
      </w:r>
      <w:r>
        <w:rPr>
          <w:rFonts w:hint="eastAsia"/>
        </w:rPr>
        <w:t>浓度＞80%）</w:t>
      </w:r>
      <w:r>
        <w:t>碳捕集技术水平分级</w:t>
      </w:r>
    </w:p>
    <w:tbl>
      <w:tblPr>
        <w:tblStyle w:val="16"/>
        <w:tblW w:w="5000" w:type="pct"/>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928"/>
        <w:gridCol w:w="1916"/>
        <w:gridCol w:w="1225"/>
        <w:gridCol w:w="1225"/>
        <w:gridCol w:w="1228"/>
      </w:tblGrid>
      <w:tr w14:paraId="76EF9375">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4" w:hRule="atLeast"/>
          <w:jc w:val="center"/>
        </w:trPr>
        <w:tc>
          <w:tcPr>
            <w:tcW w:w="1718" w:type="pct"/>
            <w:vMerge w:val="restart"/>
            <w:tcBorders>
              <w:top w:val="single" w:color="auto" w:sz="12" w:space="0"/>
              <w:bottom w:val="nil"/>
            </w:tcBorders>
            <w:vAlign w:val="center"/>
          </w:tcPr>
          <w:p w14:paraId="44A2D952">
            <w:pPr>
              <w:pStyle w:val="26"/>
            </w:pPr>
            <w:r>
              <w:t>技术指标</w:t>
            </w:r>
          </w:p>
        </w:tc>
        <w:tc>
          <w:tcPr>
            <w:tcW w:w="1124" w:type="pct"/>
            <w:vMerge w:val="restart"/>
            <w:tcBorders>
              <w:top w:val="single" w:color="auto" w:sz="12" w:space="0"/>
              <w:bottom w:val="nil"/>
            </w:tcBorders>
            <w:vAlign w:val="center"/>
          </w:tcPr>
          <w:p w14:paraId="3678000C">
            <w:pPr>
              <w:pStyle w:val="26"/>
            </w:pPr>
            <w:r>
              <w:t>单位</w:t>
            </w:r>
          </w:p>
        </w:tc>
        <w:tc>
          <w:tcPr>
            <w:tcW w:w="2157" w:type="pct"/>
            <w:gridSpan w:val="3"/>
            <w:tcBorders>
              <w:top w:val="single" w:color="auto" w:sz="12" w:space="0"/>
              <w:bottom w:val="nil"/>
            </w:tcBorders>
            <w:vAlign w:val="center"/>
          </w:tcPr>
          <w:p w14:paraId="34A69D5C">
            <w:pPr>
              <w:pStyle w:val="26"/>
            </w:pPr>
            <w:r>
              <w:t>指标</w:t>
            </w:r>
          </w:p>
        </w:tc>
      </w:tr>
      <w:tr w14:paraId="4ACCAF08">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4" w:hRule="atLeast"/>
          <w:jc w:val="center"/>
        </w:trPr>
        <w:tc>
          <w:tcPr>
            <w:tcW w:w="1718" w:type="pct"/>
            <w:vMerge w:val="continue"/>
            <w:tcBorders>
              <w:top w:val="nil"/>
              <w:bottom w:val="single" w:color="auto" w:sz="8" w:space="0"/>
            </w:tcBorders>
            <w:vAlign w:val="center"/>
          </w:tcPr>
          <w:p w14:paraId="5FF8E2D1">
            <w:pPr>
              <w:pStyle w:val="26"/>
            </w:pPr>
          </w:p>
        </w:tc>
        <w:tc>
          <w:tcPr>
            <w:tcW w:w="1124" w:type="pct"/>
            <w:vMerge w:val="continue"/>
            <w:tcBorders>
              <w:top w:val="nil"/>
              <w:bottom w:val="single" w:color="auto" w:sz="8" w:space="0"/>
            </w:tcBorders>
            <w:vAlign w:val="center"/>
          </w:tcPr>
          <w:p w14:paraId="6A225ABE">
            <w:pPr>
              <w:pStyle w:val="26"/>
            </w:pPr>
          </w:p>
        </w:tc>
        <w:tc>
          <w:tcPr>
            <w:tcW w:w="719" w:type="pct"/>
            <w:tcBorders>
              <w:top w:val="nil"/>
              <w:bottom w:val="single" w:color="auto" w:sz="8" w:space="0"/>
            </w:tcBorders>
            <w:vAlign w:val="center"/>
          </w:tcPr>
          <w:p w14:paraId="43001DAA">
            <w:pPr>
              <w:pStyle w:val="26"/>
            </w:pPr>
            <w:r>
              <w:t>1级</w:t>
            </w:r>
          </w:p>
        </w:tc>
        <w:tc>
          <w:tcPr>
            <w:tcW w:w="719" w:type="pct"/>
            <w:tcBorders>
              <w:top w:val="nil"/>
              <w:bottom w:val="single" w:color="auto" w:sz="8" w:space="0"/>
            </w:tcBorders>
            <w:vAlign w:val="center"/>
          </w:tcPr>
          <w:p w14:paraId="767ED926">
            <w:pPr>
              <w:pStyle w:val="26"/>
            </w:pPr>
            <w:r>
              <w:t>2级</w:t>
            </w:r>
          </w:p>
        </w:tc>
        <w:tc>
          <w:tcPr>
            <w:tcW w:w="720" w:type="pct"/>
            <w:tcBorders>
              <w:top w:val="nil"/>
              <w:bottom w:val="single" w:color="auto" w:sz="8" w:space="0"/>
            </w:tcBorders>
            <w:vAlign w:val="center"/>
          </w:tcPr>
          <w:p w14:paraId="7B5D7133">
            <w:pPr>
              <w:pStyle w:val="26"/>
            </w:pPr>
            <w:r>
              <w:t>3级</w:t>
            </w:r>
          </w:p>
        </w:tc>
      </w:tr>
      <w:tr w14:paraId="0C23DA9E">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718" w:type="pct"/>
            <w:tcBorders>
              <w:top w:val="single" w:color="auto" w:sz="8" w:space="0"/>
            </w:tcBorders>
            <w:vAlign w:val="center"/>
          </w:tcPr>
          <w:p w14:paraId="2963A956">
            <w:pPr>
              <w:pStyle w:val="26"/>
            </w:pPr>
            <w:r>
              <w:t>CO</w:t>
            </w:r>
            <w:r>
              <w:rPr>
                <w:vertAlign w:val="subscript"/>
              </w:rPr>
              <w:t>2</w:t>
            </w:r>
            <w:r>
              <w:t>捕集率</w:t>
            </w:r>
          </w:p>
        </w:tc>
        <w:tc>
          <w:tcPr>
            <w:tcW w:w="1124" w:type="pct"/>
            <w:tcBorders>
              <w:top w:val="single" w:color="auto" w:sz="8" w:space="0"/>
            </w:tcBorders>
            <w:vAlign w:val="center"/>
          </w:tcPr>
          <w:p w14:paraId="6F642381">
            <w:pPr>
              <w:pStyle w:val="26"/>
            </w:pPr>
            <w:r>
              <w:t>%</w:t>
            </w:r>
          </w:p>
        </w:tc>
        <w:tc>
          <w:tcPr>
            <w:tcW w:w="719" w:type="pct"/>
            <w:tcBorders>
              <w:top w:val="single" w:color="auto" w:sz="8" w:space="0"/>
            </w:tcBorders>
            <w:vAlign w:val="center"/>
          </w:tcPr>
          <w:p w14:paraId="6FB2EED7">
            <w:pPr>
              <w:pStyle w:val="26"/>
            </w:pPr>
            <w:r>
              <w:t>≥9</w:t>
            </w:r>
            <w:r>
              <w:rPr>
                <w:rFonts w:hint="eastAsia"/>
              </w:rPr>
              <w:t>0</w:t>
            </w:r>
          </w:p>
        </w:tc>
        <w:tc>
          <w:tcPr>
            <w:tcW w:w="719" w:type="pct"/>
            <w:tcBorders>
              <w:top w:val="single" w:color="auto" w:sz="8" w:space="0"/>
            </w:tcBorders>
            <w:vAlign w:val="center"/>
          </w:tcPr>
          <w:p w14:paraId="3E81AC5C">
            <w:pPr>
              <w:pStyle w:val="26"/>
            </w:pPr>
            <w:r>
              <w:t>≥</w:t>
            </w:r>
            <w:r>
              <w:rPr>
                <w:rFonts w:hint="eastAsia"/>
              </w:rPr>
              <w:t>8</w:t>
            </w:r>
            <w:r>
              <w:t>5</w:t>
            </w:r>
          </w:p>
        </w:tc>
        <w:tc>
          <w:tcPr>
            <w:tcW w:w="720" w:type="pct"/>
            <w:tcBorders>
              <w:top w:val="single" w:color="auto" w:sz="8" w:space="0"/>
            </w:tcBorders>
            <w:vAlign w:val="center"/>
          </w:tcPr>
          <w:p w14:paraId="0FBE21D0">
            <w:pPr>
              <w:pStyle w:val="26"/>
            </w:pPr>
            <w:r>
              <w:t>≥</w:t>
            </w:r>
            <w:r>
              <w:rPr>
                <w:rFonts w:hint="eastAsia"/>
              </w:rPr>
              <w:t>80</w:t>
            </w:r>
          </w:p>
        </w:tc>
      </w:tr>
      <w:tr w14:paraId="24C3625D">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718" w:type="pct"/>
            <w:vAlign w:val="center"/>
          </w:tcPr>
          <w:p w14:paraId="56869FC3">
            <w:pPr>
              <w:pStyle w:val="26"/>
            </w:pPr>
            <w:r>
              <w:t>CO</w:t>
            </w:r>
            <w:r>
              <w:rPr>
                <w:vertAlign w:val="subscript"/>
              </w:rPr>
              <w:t>2</w:t>
            </w:r>
            <w:r>
              <w:t>产品纯度</w:t>
            </w:r>
          </w:p>
        </w:tc>
        <w:tc>
          <w:tcPr>
            <w:tcW w:w="1124" w:type="pct"/>
            <w:vAlign w:val="center"/>
          </w:tcPr>
          <w:p w14:paraId="05ABD6CF">
            <w:pPr>
              <w:pStyle w:val="26"/>
            </w:pPr>
            <w:r>
              <w:t>%</w:t>
            </w:r>
          </w:p>
        </w:tc>
        <w:tc>
          <w:tcPr>
            <w:tcW w:w="719" w:type="pct"/>
            <w:vAlign w:val="center"/>
          </w:tcPr>
          <w:p w14:paraId="2C5C63F2">
            <w:pPr>
              <w:pStyle w:val="26"/>
            </w:pPr>
            <w:r>
              <w:t>≥99</w:t>
            </w:r>
          </w:p>
        </w:tc>
        <w:tc>
          <w:tcPr>
            <w:tcW w:w="719" w:type="pct"/>
            <w:vAlign w:val="center"/>
          </w:tcPr>
          <w:p w14:paraId="6F72FCD9">
            <w:pPr>
              <w:pStyle w:val="26"/>
            </w:pPr>
            <w:r>
              <w:t>≥9</w:t>
            </w:r>
            <w:r>
              <w:rPr>
                <w:rFonts w:hint="eastAsia"/>
              </w:rPr>
              <w:t>7</w:t>
            </w:r>
          </w:p>
        </w:tc>
        <w:tc>
          <w:tcPr>
            <w:tcW w:w="720" w:type="pct"/>
            <w:vAlign w:val="center"/>
          </w:tcPr>
          <w:p w14:paraId="295B0B0B">
            <w:pPr>
              <w:pStyle w:val="26"/>
            </w:pPr>
            <w:r>
              <w:t>≥9</w:t>
            </w:r>
            <w:r>
              <w:rPr>
                <w:rFonts w:hint="eastAsia"/>
              </w:rPr>
              <w:t>5</w:t>
            </w:r>
          </w:p>
        </w:tc>
      </w:tr>
      <w:tr w14:paraId="57A560A7">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718" w:type="pct"/>
            <w:vAlign w:val="center"/>
          </w:tcPr>
          <w:p w14:paraId="76A15A8E">
            <w:pPr>
              <w:pStyle w:val="26"/>
            </w:pPr>
            <w:r>
              <w:t>再生能耗</w:t>
            </w:r>
          </w:p>
        </w:tc>
        <w:tc>
          <w:tcPr>
            <w:tcW w:w="1124" w:type="pct"/>
            <w:vAlign w:val="center"/>
          </w:tcPr>
          <w:p w14:paraId="271BF272">
            <w:pPr>
              <w:pStyle w:val="26"/>
            </w:pPr>
            <w:r>
              <w:t>GJ/tCO</w:t>
            </w:r>
            <w:r>
              <w:rPr>
                <w:vertAlign w:val="subscript"/>
              </w:rPr>
              <w:t>2</w:t>
            </w:r>
          </w:p>
        </w:tc>
        <w:tc>
          <w:tcPr>
            <w:tcW w:w="719" w:type="pct"/>
            <w:vAlign w:val="center"/>
          </w:tcPr>
          <w:p w14:paraId="7630D8CD">
            <w:pPr>
              <w:pStyle w:val="26"/>
            </w:pPr>
            <w:r>
              <w:t>≤1.4</w:t>
            </w:r>
          </w:p>
        </w:tc>
        <w:tc>
          <w:tcPr>
            <w:tcW w:w="719" w:type="pct"/>
            <w:vAlign w:val="center"/>
          </w:tcPr>
          <w:p w14:paraId="4AFA2510">
            <w:pPr>
              <w:pStyle w:val="26"/>
            </w:pPr>
            <w:r>
              <w:t>≤</w:t>
            </w:r>
            <w:r>
              <w:rPr>
                <w:rFonts w:hint="eastAsia"/>
              </w:rPr>
              <w:t>1.6</w:t>
            </w:r>
          </w:p>
        </w:tc>
        <w:tc>
          <w:tcPr>
            <w:tcW w:w="720" w:type="pct"/>
            <w:vAlign w:val="center"/>
          </w:tcPr>
          <w:p w14:paraId="796CA290">
            <w:pPr>
              <w:pStyle w:val="26"/>
            </w:pPr>
            <w:r>
              <w:t>≤2.</w:t>
            </w:r>
            <w:r>
              <w:rPr>
                <w:rFonts w:hint="eastAsia"/>
              </w:rPr>
              <w:t>0</w:t>
            </w:r>
          </w:p>
        </w:tc>
      </w:tr>
    </w:tbl>
    <w:p w14:paraId="7E79C7B2">
      <w:pPr>
        <w:pStyle w:val="23"/>
        <w:ind w:firstLine="480"/>
      </w:pPr>
      <w:r>
        <w:rPr>
          <w:rFonts w:hint="eastAsia"/>
        </w:rPr>
        <w:t>低浓度</w:t>
      </w:r>
      <w:r>
        <w:t>碳捕集技术评价指标见表2。</w:t>
      </w:r>
    </w:p>
    <w:p w14:paraId="1064A4AD">
      <w:pPr>
        <w:pStyle w:val="28"/>
      </w:pPr>
      <w:r>
        <w:t>表</w:t>
      </w:r>
      <w:r>
        <w:fldChar w:fldCharType="begin"/>
      </w:r>
      <w:r>
        <w:instrText xml:space="preserve"> SEQ 表 \* ARABIC </w:instrText>
      </w:r>
      <w:r>
        <w:fldChar w:fldCharType="separate"/>
      </w:r>
      <w:r>
        <w:t>2</w:t>
      </w:r>
      <w:r>
        <w:fldChar w:fldCharType="end"/>
      </w:r>
      <w:r>
        <w:t xml:space="preserve"> </w:t>
      </w:r>
      <w:r>
        <w:rPr>
          <w:rFonts w:hint="eastAsia"/>
        </w:rPr>
        <w:t>低浓度（CO</w:t>
      </w:r>
      <w:r>
        <w:rPr>
          <w:rFonts w:hint="eastAsia"/>
          <w:vertAlign w:val="subscript"/>
        </w:rPr>
        <w:t>2</w:t>
      </w:r>
      <w:r>
        <w:rPr>
          <w:rFonts w:hint="eastAsia"/>
        </w:rPr>
        <w:t>浓度＜40%）</w:t>
      </w:r>
      <w:r>
        <w:t>碳捕集技术水平分级</w:t>
      </w:r>
    </w:p>
    <w:tbl>
      <w:tblPr>
        <w:tblStyle w:val="16"/>
        <w:tblW w:w="5000" w:type="pct"/>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43"/>
        <w:gridCol w:w="1672"/>
        <w:gridCol w:w="1514"/>
        <w:gridCol w:w="1261"/>
        <w:gridCol w:w="1232"/>
      </w:tblGrid>
      <w:tr w14:paraId="64C05CDA">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4" w:hRule="atLeast"/>
          <w:jc w:val="center"/>
        </w:trPr>
        <w:tc>
          <w:tcPr>
            <w:tcW w:w="1668" w:type="pct"/>
            <w:vMerge w:val="restart"/>
            <w:tcBorders>
              <w:top w:val="single" w:color="auto" w:sz="12" w:space="0"/>
              <w:bottom w:val="nil"/>
            </w:tcBorders>
            <w:vAlign w:val="center"/>
          </w:tcPr>
          <w:p w14:paraId="0BF2629A">
            <w:pPr>
              <w:pStyle w:val="26"/>
            </w:pPr>
            <w:r>
              <w:t>技术指标</w:t>
            </w:r>
          </w:p>
        </w:tc>
        <w:tc>
          <w:tcPr>
            <w:tcW w:w="981" w:type="pct"/>
            <w:vMerge w:val="restart"/>
            <w:tcBorders>
              <w:top w:val="single" w:color="auto" w:sz="12" w:space="0"/>
              <w:bottom w:val="nil"/>
            </w:tcBorders>
            <w:vAlign w:val="center"/>
          </w:tcPr>
          <w:p w14:paraId="6CBD6158">
            <w:pPr>
              <w:pStyle w:val="26"/>
            </w:pPr>
            <w:r>
              <w:t>单位</w:t>
            </w:r>
          </w:p>
        </w:tc>
        <w:tc>
          <w:tcPr>
            <w:tcW w:w="2351" w:type="pct"/>
            <w:gridSpan w:val="3"/>
            <w:tcBorders>
              <w:top w:val="single" w:color="auto" w:sz="12" w:space="0"/>
              <w:bottom w:val="nil"/>
            </w:tcBorders>
            <w:vAlign w:val="center"/>
          </w:tcPr>
          <w:p w14:paraId="384C5E09">
            <w:pPr>
              <w:pStyle w:val="26"/>
            </w:pPr>
            <w:r>
              <w:t>指标</w:t>
            </w:r>
          </w:p>
        </w:tc>
      </w:tr>
      <w:tr w14:paraId="709EE392">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4" w:hRule="atLeast"/>
          <w:jc w:val="center"/>
        </w:trPr>
        <w:tc>
          <w:tcPr>
            <w:tcW w:w="1668" w:type="pct"/>
            <w:vMerge w:val="continue"/>
            <w:tcBorders>
              <w:top w:val="nil"/>
              <w:bottom w:val="single" w:color="auto" w:sz="8" w:space="0"/>
            </w:tcBorders>
            <w:vAlign w:val="center"/>
          </w:tcPr>
          <w:p w14:paraId="42B71261">
            <w:pPr>
              <w:pStyle w:val="26"/>
            </w:pPr>
          </w:p>
        </w:tc>
        <w:tc>
          <w:tcPr>
            <w:tcW w:w="981" w:type="pct"/>
            <w:vMerge w:val="continue"/>
            <w:tcBorders>
              <w:top w:val="nil"/>
              <w:bottom w:val="single" w:color="auto" w:sz="8" w:space="0"/>
            </w:tcBorders>
            <w:vAlign w:val="center"/>
          </w:tcPr>
          <w:p w14:paraId="0448DE65">
            <w:pPr>
              <w:pStyle w:val="26"/>
            </w:pPr>
          </w:p>
        </w:tc>
        <w:tc>
          <w:tcPr>
            <w:tcW w:w="888" w:type="pct"/>
            <w:tcBorders>
              <w:top w:val="nil"/>
              <w:bottom w:val="single" w:color="auto" w:sz="8" w:space="0"/>
            </w:tcBorders>
            <w:vAlign w:val="center"/>
          </w:tcPr>
          <w:p w14:paraId="7A888348">
            <w:pPr>
              <w:pStyle w:val="26"/>
            </w:pPr>
            <w:r>
              <w:t>1级</w:t>
            </w:r>
          </w:p>
        </w:tc>
        <w:tc>
          <w:tcPr>
            <w:tcW w:w="740" w:type="pct"/>
            <w:tcBorders>
              <w:top w:val="nil"/>
              <w:bottom w:val="single" w:color="auto" w:sz="8" w:space="0"/>
            </w:tcBorders>
            <w:vAlign w:val="center"/>
          </w:tcPr>
          <w:p w14:paraId="62216301">
            <w:pPr>
              <w:pStyle w:val="26"/>
            </w:pPr>
            <w:r>
              <w:t>2级</w:t>
            </w:r>
          </w:p>
        </w:tc>
        <w:tc>
          <w:tcPr>
            <w:tcW w:w="723" w:type="pct"/>
            <w:tcBorders>
              <w:top w:val="nil"/>
              <w:bottom w:val="single" w:color="auto" w:sz="8" w:space="0"/>
            </w:tcBorders>
            <w:vAlign w:val="center"/>
          </w:tcPr>
          <w:p w14:paraId="35E01553">
            <w:pPr>
              <w:pStyle w:val="26"/>
            </w:pPr>
            <w:r>
              <w:t>3级</w:t>
            </w:r>
          </w:p>
        </w:tc>
      </w:tr>
      <w:tr w14:paraId="35D6FA22">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68" w:type="pct"/>
            <w:tcBorders>
              <w:top w:val="single" w:color="auto" w:sz="8" w:space="0"/>
            </w:tcBorders>
            <w:vAlign w:val="center"/>
          </w:tcPr>
          <w:p w14:paraId="1A8D50C0">
            <w:pPr>
              <w:pStyle w:val="26"/>
            </w:pPr>
            <w:r>
              <w:t>CO</w:t>
            </w:r>
            <w:r>
              <w:rPr>
                <w:vertAlign w:val="subscript"/>
              </w:rPr>
              <w:t>2</w:t>
            </w:r>
            <w:r>
              <w:t>捕集率</w:t>
            </w:r>
          </w:p>
        </w:tc>
        <w:tc>
          <w:tcPr>
            <w:tcW w:w="981" w:type="pct"/>
            <w:tcBorders>
              <w:top w:val="single" w:color="auto" w:sz="8" w:space="0"/>
            </w:tcBorders>
            <w:vAlign w:val="center"/>
          </w:tcPr>
          <w:p w14:paraId="3A5FA134">
            <w:pPr>
              <w:pStyle w:val="26"/>
            </w:pPr>
            <w:r>
              <w:t>%</w:t>
            </w:r>
          </w:p>
        </w:tc>
        <w:tc>
          <w:tcPr>
            <w:tcW w:w="888" w:type="pct"/>
            <w:tcBorders>
              <w:top w:val="single" w:color="auto" w:sz="8" w:space="0"/>
            </w:tcBorders>
            <w:vAlign w:val="center"/>
          </w:tcPr>
          <w:p w14:paraId="01B81E5D">
            <w:pPr>
              <w:pStyle w:val="26"/>
            </w:pPr>
            <w:r>
              <w:t>≥9</w:t>
            </w:r>
            <w:r>
              <w:rPr>
                <w:rFonts w:hint="eastAsia"/>
              </w:rPr>
              <w:t>0</w:t>
            </w:r>
          </w:p>
        </w:tc>
        <w:tc>
          <w:tcPr>
            <w:tcW w:w="740" w:type="pct"/>
            <w:tcBorders>
              <w:top w:val="single" w:color="auto" w:sz="8" w:space="0"/>
            </w:tcBorders>
            <w:vAlign w:val="center"/>
          </w:tcPr>
          <w:p w14:paraId="0F717A6E">
            <w:pPr>
              <w:pStyle w:val="26"/>
            </w:pPr>
            <w:r>
              <w:t>≥</w:t>
            </w:r>
            <w:r>
              <w:rPr>
                <w:rFonts w:hint="eastAsia"/>
              </w:rPr>
              <w:t>8</w:t>
            </w:r>
            <w:r>
              <w:t>5</w:t>
            </w:r>
          </w:p>
        </w:tc>
        <w:tc>
          <w:tcPr>
            <w:tcW w:w="723" w:type="pct"/>
            <w:tcBorders>
              <w:top w:val="single" w:color="auto" w:sz="8" w:space="0"/>
            </w:tcBorders>
            <w:vAlign w:val="center"/>
          </w:tcPr>
          <w:p w14:paraId="0F727AA0">
            <w:pPr>
              <w:pStyle w:val="26"/>
            </w:pPr>
            <w:r>
              <w:t>≥</w:t>
            </w:r>
            <w:r>
              <w:rPr>
                <w:rFonts w:hint="eastAsia"/>
              </w:rPr>
              <w:t>80</w:t>
            </w:r>
          </w:p>
        </w:tc>
      </w:tr>
      <w:tr w14:paraId="07965303">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68" w:type="pct"/>
            <w:vAlign w:val="center"/>
          </w:tcPr>
          <w:p w14:paraId="1346B210">
            <w:pPr>
              <w:pStyle w:val="26"/>
            </w:pPr>
            <w:r>
              <w:t>CO</w:t>
            </w:r>
            <w:r>
              <w:rPr>
                <w:vertAlign w:val="subscript"/>
              </w:rPr>
              <w:t>2</w:t>
            </w:r>
            <w:r>
              <w:t>产品纯度</w:t>
            </w:r>
          </w:p>
        </w:tc>
        <w:tc>
          <w:tcPr>
            <w:tcW w:w="981" w:type="pct"/>
            <w:vAlign w:val="center"/>
          </w:tcPr>
          <w:p w14:paraId="1A29BCC6">
            <w:pPr>
              <w:pStyle w:val="26"/>
            </w:pPr>
            <w:r>
              <w:t>%</w:t>
            </w:r>
          </w:p>
        </w:tc>
        <w:tc>
          <w:tcPr>
            <w:tcW w:w="888" w:type="pct"/>
            <w:vAlign w:val="center"/>
          </w:tcPr>
          <w:p w14:paraId="4E3BAACE">
            <w:pPr>
              <w:pStyle w:val="26"/>
            </w:pPr>
            <w:r>
              <w:t>≥99</w:t>
            </w:r>
          </w:p>
        </w:tc>
        <w:tc>
          <w:tcPr>
            <w:tcW w:w="740" w:type="pct"/>
            <w:vAlign w:val="center"/>
          </w:tcPr>
          <w:p w14:paraId="6214877C">
            <w:pPr>
              <w:pStyle w:val="26"/>
            </w:pPr>
            <w:r>
              <w:t>≥9</w:t>
            </w:r>
            <w:r>
              <w:rPr>
                <w:rFonts w:hint="eastAsia"/>
              </w:rPr>
              <w:t>7</w:t>
            </w:r>
          </w:p>
        </w:tc>
        <w:tc>
          <w:tcPr>
            <w:tcW w:w="723" w:type="pct"/>
            <w:vAlign w:val="center"/>
          </w:tcPr>
          <w:p w14:paraId="489E9A68">
            <w:pPr>
              <w:pStyle w:val="26"/>
            </w:pPr>
            <w:r>
              <w:t>≥9</w:t>
            </w:r>
            <w:r>
              <w:rPr>
                <w:rFonts w:hint="eastAsia"/>
              </w:rPr>
              <w:t>5</w:t>
            </w:r>
          </w:p>
        </w:tc>
      </w:tr>
      <w:tr w14:paraId="43A062A7">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68" w:type="pct"/>
            <w:vAlign w:val="center"/>
          </w:tcPr>
          <w:p w14:paraId="2CFB5BA7">
            <w:pPr>
              <w:pStyle w:val="26"/>
            </w:pPr>
            <w:r>
              <w:t>再生能耗</w:t>
            </w:r>
          </w:p>
        </w:tc>
        <w:tc>
          <w:tcPr>
            <w:tcW w:w="981" w:type="pct"/>
            <w:vAlign w:val="center"/>
          </w:tcPr>
          <w:p w14:paraId="41F7ED09">
            <w:pPr>
              <w:pStyle w:val="26"/>
            </w:pPr>
            <w:r>
              <w:t>GJ/tCO</w:t>
            </w:r>
            <w:r>
              <w:rPr>
                <w:vertAlign w:val="subscript"/>
              </w:rPr>
              <w:t>2</w:t>
            </w:r>
          </w:p>
        </w:tc>
        <w:tc>
          <w:tcPr>
            <w:tcW w:w="888" w:type="pct"/>
            <w:vAlign w:val="center"/>
          </w:tcPr>
          <w:p w14:paraId="5F4D442A">
            <w:pPr>
              <w:pStyle w:val="26"/>
            </w:pPr>
            <w:r>
              <w:t>≤</w:t>
            </w:r>
            <w:r>
              <w:rPr>
                <w:rFonts w:hint="eastAsia"/>
              </w:rPr>
              <w:t>2.5</w:t>
            </w:r>
          </w:p>
        </w:tc>
        <w:tc>
          <w:tcPr>
            <w:tcW w:w="740" w:type="pct"/>
            <w:vAlign w:val="center"/>
          </w:tcPr>
          <w:p w14:paraId="323CED8E">
            <w:pPr>
              <w:pStyle w:val="26"/>
            </w:pPr>
            <w:r>
              <w:t>≤</w:t>
            </w:r>
            <w:r>
              <w:rPr>
                <w:rFonts w:hint="eastAsia"/>
              </w:rPr>
              <w:t>3.0</w:t>
            </w:r>
          </w:p>
        </w:tc>
        <w:tc>
          <w:tcPr>
            <w:tcW w:w="723" w:type="pct"/>
            <w:vAlign w:val="center"/>
          </w:tcPr>
          <w:p w14:paraId="66722272">
            <w:pPr>
              <w:pStyle w:val="26"/>
            </w:pPr>
            <w:r>
              <w:t>≤</w:t>
            </w:r>
            <w:r>
              <w:rPr>
                <w:rFonts w:hint="eastAsia"/>
              </w:rPr>
              <w:t>4</w:t>
            </w:r>
            <w:r>
              <w:t>.0</w:t>
            </w:r>
          </w:p>
        </w:tc>
      </w:tr>
    </w:tbl>
    <w:p w14:paraId="7DBD254F">
      <w:pPr>
        <w:pStyle w:val="23"/>
        <w:ind w:firstLine="480"/>
        <w:rPr>
          <w:rFonts w:cs="Times New Roman"/>
          <w:shd w:val="clear" w:color="auto" w:fill="FFFFFF"/>
        </w:rPr>
      </w:pPr>
      <w:r>
        <w:rPr>
          <w:rFonts w:cs="Times New Roman"/>
          <w:shd w:val="clear" w:color="auto" w:fill="FFFFFF"/>
        </w:rPr>
        <w:t>本文件给出了煤化工企业的捕集二氧化碳的经济指标，包括：每吨CO</w:t>
      </w:r>
      <w:r>
        <w:rPr>
          <w:rFonts w:cs="Times New Roman"/>
          <w:shd w:val="clear" w:color="auto" w:fill="FFFFFF"/>
          <w:vertAlign w:val="subscript"/>
        </w:rPr>
        <w:t>2</w:t>
      </w:r>
      <w:r>
        <w:rPr>
          <w:rFonts w:cs="Times New Roman"/>
          <w:shd w:val="clear" w:color="auto" w:fill="FFFFFF"/>
        </w:rPr>
        <w:t>捕集运行成本，每个技术指标分为三级，其中1级指标为鼓励性指标。</w:t>
      </w:r>
    </w:p>
    <w:p w14:paraId="5C4D53AA">
      <w:pPr>
        <w:pStyle w:val="23"/>
        <w:ind w:firstLine="480"/>
        <w:rPr>
          <w:rFonts w:cs="Times New Roman"/>
          <w:shd w:val="clear" w:color="auto" w:fill="FFFFFF"/>
        </w:rPr>
      </w:pPr>
      <w:r>
        <w:rPr>
          <w:rFonts w:cs="Times New Roman"/>
          <w:shd w:val="clear" w:color="auto" w:fill="FFFFFF"/>
        </w:rPr>
        <w:t>1级指标为领先水平；</w:t>
      </w:r>
    </w:p>
    <w:p w14:paraId="1D8F864A">
      <w:pPr>
        <w:pStyle w:val="23"/>
        <w:ind w:firstLine="480"/>
        <w:rPr>
          <w:rFonts w:cs="Times New Roman"/>
          <w:shd w:val="clear" w:color="auto" w:fill="FFFFFF"/>
        </w:rPr>
      </w:pPr>
      <w:r>
        <w:rPr>
          <w:rFonts w:cs="Times New Roman"/>
          <w:shd w:val="clear" w:color="auto" w:fill="FFFFFF"/>
        </w:rPr>
        <w:t>2级指标为先进水平；</w:t>
      </w:r>
    </w:p>
    <w:p w14:paraId="44DFE8A1">
      <w:pPr>
        <w:pStyle w:val="23"/>
        <w:ind w:firstLine="480"/>
        <w:rPr>
          <w:rFonts w:cs="Times New Roman"/>
          <w:shd w:val="clear" w:color="auto" w:fill="FFFFFF"/>
        </w:rPr>
      </w:pPr>
      <w:r>
        <w:rPr>
          <w:rFonts w:cs="Times New Roman"/>
          <w:shd w:val="clear" w:color="auto" w:fill="FFFFFF"/>
        </w:rPr>
        <w:t>3级指标为基本水平。</w:t>
      </w:r>
    </w:p>
    <w:p w14:paraId="000167B2">
      <w:pPr>
        <w:pStyle w:val="23"/>
        <w:ind w:firstLine="480"/>
      </w:pPr>
      <w:r>
        <w:t>碳捕集经济评价指标见表3。</w:t>
      </w:r>
    </w:p>
    <w:p w14:paraId="737C8DC7">
      <w:pPr>
        <w:pStyle w:val="28"/>
      </w:pPr>
      <w:r>
        <w:t>表</w:t>
      </w:r>
      <w:r>
        <w:fldChar w:fldCharType="begin"/>
      </w:r>
      <w:r>
        <w:instrText xml:space="preserve"> SEQ 表 \* ARABIC </w:instrText>
      </w:r>
      <w:r>
        <w:fldChar w:fldCharType="separate"/>
      </w:r>
      <w:r>
        <w:t>3</w:t>
      </w:r>
      <w:r>
        <w:fldChar w:fldCharType="end"/>
      </w:r>
      <w:r>
        <w:t xml:space="preserve"> </w:t>
      </w:r>
      <w:r>
        <w:rPr>
          <w:color w:val="000000"/>
          <w:szCs w:val="22"/>
        </w:rPr>
        <w:t>煤化工行业不同捕集纯化方法经济水平分级</w:t>
      </w:r>
    </w:p>
    <w:tbl>
      <w:tblPr>
        <w:tblStyle w:val="16"/>
        <w:tblW w:w="5000" w:type="pct"/>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9"/>
        <w:gridCol w:w="2843"/>
        <w:gridCol w:w="946"/>
        <w:gridCol w:w="948"/>
        <w:gridCol w:w="946"/>
      </w:tblGrid>
      <w:tr w14:paraId="4E1CAFB5">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4" w:hRule="atLeast"/>
          <w:jc w:val="center"/>
        </w:trPr>
        <w:tc>
          <w:tcPr>
            <w:tcW w:w="1666" w:type="pct"/>
            <w:vMerge w:val="restart"/>
            <w:tcBorders>
              <w:top w:val="single" w:color="auto" w:sz="12" w:space="0"/>
              <w:bottom w:val="nil"/>
            </w:tcBorders>
            <w:vAlign w:val="center"/>
          </w:tcPr>
          <w:p w14:paraId="35ECDCEC">
            <w:pPr>
              <w:pStyle w:val="26"/>
            </w:pPr>
            <w:r>
              <w:t>捕集纯化方法</w:t>
            </w:r>
          </w:p>
        </w:tc>
        <w:tc>
          <w:tcPr>
            <w:tcW w:w="1668" w:type="pct"/>
            <w:vMerge w:val="restart"/>
            <w:tcBorders>
              <w:top w:val="single" w:color="auto" w:sz="12" w:space="0"/>
              <w:bottom w:val="nil"/>
            </w:tcBorders>
            <w:vAlign w:val="center"/>
          </w:tcPr>
          <w:p w14:paraId="5AE41902">
            <w:pPr>
              <w:pStyle w:val="26"/>
            </w:pPr>
            <w:r>
              <w:t>单位</w:t>
            </w:r>
          </w:p>
        </w:tc>
        <w:tc>
          <w:tcPr>
            <w:tcW w:w="1666" w:type="pct"/>
            <w:gridSpan w:val="3"/>
            <w:tcBorders>
              <w:top w:val="single" w:color="auto" w:sz="12" w:space="0"/>
              <w:bottom w:val="nil"/>
            </w:tcBorders>
            <w:vAlign w:val="center"/>
          </w:tcPr>
          <w:p w14:paraId="7BA0424E">
            <w:pPr>
              <w:pStyle w:val="26"/>
            </w:pPr>
            <w:r>
              <w:t>指标</w:t>
            </w:r>
          </w:p>
        </w:tc>
      </w:tr>
      <w:tr w14:paraId="43C00445">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4" w:hRule="atLeast"/>
          <w:jc w:val="center"/>
        </w:trPr>
        <w:tc>
          <w:tcPr>
            <w:tcW w:w="1666" w:type="pct"/>
            <w:vMerge w:val="continue"/>
            <w:tcBorders>
              <w:top w:val="nil"/>
              <w:bottom w:val="single" w:color="auto" w:sz="8" w:space="0"/>
            </w:tcBorders>
            <w:vAlign w:val="center"/>
          </w:tcPr>
          <w:p w14:paraId="3D8D98E2">
            <w:pPr>
              <w:pStyle w:val="26"/>
            </w:pPr>
          </w:p>
        </w:tc>
        <w:tc>
          <w:tcPr>
            <w:tcW w:w="1668" w:type="pct"/>
            <w:vMerge w:val="continue"/>
            <w:tcBorders>
              <w:top w:val="nil"/>
              <w:bottom w:val="single" w:color="auto" w:sz="8" w:space="0"/>
            </w:tcBorders>
            <w:vAlign w:val="center"/>
          </w:tcPr>
          <w:p w14:paraId="7C2EDFAE">
            <w:pPr>
              <w:pStyle w:val="26"/>
            </w:pPr>
          </w:p>
        </w:tc>
        <w:tc>
          <w:tcPr>
            <w:tcW w:w="555" w:type="pct"/>
            <w:tcBorders>
              <w:top w:val="nil"/>
              <w:bottom w:val="single" w:color="auto" w:sz="8" w:space="0"/>
            </w:tcBorders>
            <w:vAlign w:val="center"/>
          </w:tcPr>
          <w:p w14:paraId="2D47FE4A">
            <w:pPr>
              <w:pStyle w:val="26"/>
            </w:pPr>
            <w:r>
              <w:t>1级</w:t>
            </w:r>
          </w:p>
        </w:tc>
        <w:tc>
          <w:tcPr>
            <w:tcW w:w="556" w:type="pct"/>
            <w:tcBorders>
              <w:top w:val="nil"/>
              <w:bottom w:val="single" w:color="auto" w:sz="8" w:space="0"/>
            </w:tcBorders>
            <w:vAlign w:val="center"/>
          </w:tcPr>
          <w:p w14:paraId="3DF31BE6">
            <w:pPr>
              <w:pStyle w:val="26"/>
            </w:pPr>
            <w:r>
              <w:t>2级</w:t>
            </w:r>
          </w:p>
        </w:tc>
        <w:tc>
          <w:tcPr>
            <w:tcW w:w="555" w:type="pct"/>
            <w:tcBorders>
              <w:top w:val="nil"/>
              <w:bottom w:val="single" w:color="auto" w:sz="8" w:space="0"/>
            </w:tcBorders>
            <w:vAlign w:val="center"/>
          </w:tcPr>
          <w:p w14:paraId="3282172E">
            <w:pPr>
              <w:pStyle w:val="26"/>
            </w:pPr>
            <w:r>
              <w:t>3级</w:t>
            </w:r>
          </w:p>
        </w:tc>
      </w:tr>
      <w:tr w14:paraId="7593EB25">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66" w:type="pct"/>
            <w:tcBorders>
              <w:top w:val="single" w:color="auto" w:sz="8" w:space="0"/>
            </w:tcBorders>
            <w:vAlign w:val="center"/>
          </w:tcPr>
          <w:p w14:paraId="3870ACA0">
            <w:pPr>
              <w:pStyle w:val="26"/>
            </w:pPr>
            <w:r>
              <w:t>化学吸收法</w:t>
            </w:r>
          </w:p>
        </w:tc>
        <w:tc>
          <w:tcPr>
            <w:tcW w:w="1668" w:type="pct"/>
            <w:tcBorders>
              <w:top w:val="single" w:color="auto" w:sz="8" w:space="0"/>
            </w:tcBorders>
            <w:vAlign w:val="center"/>
          </w:tcPr>
          <w:p w14:paraId="559B3CA2">
            <w:pPr>
              <w:pStyle w:val="26"/>
            </w:pPr>
            <w:r>
              <w:t>元/吨CO</w:t>
            </w:r>
            <w:r>
              <w:rPr>
                <w:vertAlign w:val="subscript"/>
              </w:rPr>
              <w:t>2</w:t>
            </w:r>
          </w:p>
        </w:tc>
        <w:tc>
          <w:tcPr>
            <w:tcW w:w="555" w:type="pct"/>
            <w:tcBorders>
              <w:top w:val="single" w:color="auto" w:sz="8" w:space="0"/>
            </w:tcBorders>
            <w:vAlign w:val="center"/>
          </w:tcPr>
          <w:p w14:paraId="3F71E9C5">
            <w:pPr>
              <w:pStyle w:val="26"/>
            </w:pPr>
            <w:r>
              <w:t>≤200</w:t>
            </w:r>
          </w:p>
        </w:tc>
        <w:tc>
          <w:tcPr>
            <w:tcW w:w="556" w:type="pct"/>
            <w:tcBorders>
              <w:top w:val="single" w:color="auto" w:sz="8" w:space="0"/>
            </w:tcBorders>
            <w:vAlign w:val="center"/>
          </w:tcPr>
          <w:p w14:paraId="1021F905">
            <w:pPr>
              <w:pStyle w:val="26"/>
            </w:pPr>
            <w:r>
              <w:t>≤300</w:t>
            </w:r>
          </w:p>
        </w:tc>
        <w:tc>
          <w:tcPr>
            <w:tcW w:w="555" w:type="pct"/>
            <w:tcBorders>
              <w:top w:val="single" w:color="auto" w:sz="8" w:space="0"/>
            </w:tcBorders>
            <w:vAlign w:val="center"/>
          </w:tcPr>
          <w:p w14:paraId="025AEF1D">
            <w:pPr>
              <w:pStyle w:val="26"/>
            </w:pPr>
            <w:r>
              <w:t>≤400</w:t>
            </w:r>
          </w:p>
        </w:tc>
      </w:tr>
      <w:tr w14:paraId="69A9F636">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66" w:type="pct"/>
            <w:vAlign w:val="center"/>
          </w:tcPr>
          <w:p w14:paraId="46B0F2D0">
            <w:pPr>
              <w:pStyle w:val="26"/>
            </w:pPr>
            <w:r>
              <w:rPr>
                <w:rFonts w:hint="eastAsia"/>
              </w:rPr>
              <w:t>物理吸收法</w:t>
            </w:r>
          </w:p>
        </w:tc>
        <w:tc>
          <w:tcPr>
            <w:tcW w:w="1668" w:type="pct"/>
            <w:vAlign w:val="center"/>
          </w:tcPr>
          <w:p w14:paraId="0D5FF699">
            <w:pPr>
              <w:pStyle w:val="26"/>
            </w:pPr>
            <w:r>
              <w:t>元/吨CO</w:t>
            </w:r>
            <w:r>
              <w:rPr>
                <w:rFonts w:hint="eastAsia"/>
                <w:vertAlign w:val="subscript"/>
              </w:rPr>
              <w:t>2</w:t>
            </w:r>
          </w:p>
        </w:tc>
        <w:tc>
          <w:tcPr>
            <w:tcW w:w="555" w:type="pct"/>
            <w:vAlign w:val="center"/>
          </w:tcPr>
          <w:p w14:paraId="358407AD">
            <w:pPr>
              <w:pStyle w:val="26"/>
            </w:pPr>
            <w:r>
              <w:t>≤200</w:t>
            </w:r>
          </w:p>
        </w:tc>
        <w:tc>
          <w:tcPr>
            <w:tcW w:w="556" w:type="pct"/>
            <w:vAlign w:val="center"/>
          </w:tcPr>
          <w:p w14:paraId="25274540">
            <w:pPr>
              <w:pStyle w:val="26"/>
            </w:pPr>
            <w:r>
              <w:t>≤300</w:t>
            </w:r>
          </w:p>
        </w:tc>
        <w:tc>
          <w:tcPr>
            <w:tcW w:w="555" w:type="pct"/>
            <w:vAlign w:val="center"/>
          </w:tcPr>
          <w:p w14:paraId="6E987413">
            <w:pPr>
              <w:pStyle w:val="26"/>
            </w:pPr>
            <w:r>
              <w:t>≤400</w:t>
            </w:r>
          </w:p>
        </w:tc>
      </w:tr>
      <w:tr w14:paraId="2B0AE495">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66" w:type="pct"/>
            <w:vAlign w:val="center"/>
          </w:tcPr>
          <w:p w14:paraId="38575274">
            <w:pPr>
              <w:pStyle w:val="26"/>
            </w:pPr>
            <w:r>
              <w:rPr>
                <w:rFonts w:hint="eastAsia"/>
              </w:rPr>
              <w:t>变温</w:t>
            </w:r>
            <w:r>
              <w:t>吸附法</w:t>
            </w:r>
          </w:p>
        </w:tc>
        <w:tc>
          <w:tcPr>
            <w:tcW w:w="1668" w:type="pct"/>
            <w:vAlign w:val="center"/>
          </w:tcPr>
          <w:p w14:paraId="09030802">
            <w:pPr>
              <w:pStyle w:val="26"/>
            </w:pPr>
            <w:r>
              <w:t>元/吨CO</w:t>
            </w:r>
            <w:r>
              <w:rPr>
                <w:vertAlign w:val="subscript"/>
              </w:rPr>
              <w:t>2</w:t>
            </w:r>
          </w:p>
        </w:tc>
        <w:tc>
          <w:tcPr>
            <w:tcW w:w="555" w:type="pct"/>
            <w:vAlign w:val="center"/>
          </w:tcPr>
          <w:p w14:paraId="5456DC5D">
            <w:pPr>
              <w:pStyle w:val="26"/>
            </w:pPr>
            <w:r>
              <w:t>≤200</w:t>
            </w:r>
          </w:p>
        </w:tc>
        <w:tc>
          <w:tcPr>
            <w:tcW w:w="556" w:type="pct"/>
            <w:vAlign w:val="center"/>
          </w:tcPr>
          <w:p w14:paraId="2350B8FF">
            <w:pPr>
              <w:pStyle w:val="26"/>
            </w:pPr>
            <w:r>
              <w:t>≤300</w:t>
            </w:r>
          </w:p>
        </w:tc>
        <w:tc>
          <w:tcPr>
            <w:tcW w:w="555" w:type="pct"/>
            <w:vAlign w:val="center"/>
          </w:tcPr>
          <w:p w14:paraId="6AD5E6FA">
            <w:pPr>
              <w:pStyle w:val="26"/>
            </w:pPr>
            <w:r>
              <w:t>≤400</w:t>
            </w:r>
          </w:p>
        </w:tc>
      </w:tr>
      <w:tr w14:paraId="1ACCE8C4">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66" w:type="pct"/>
            <w:vAlign w:val="center"/>
          </w:tcPr>
          <w:p w14:paraId="5BEFE100">
            <w:pPr>
              <w:pStyle w:val="26"/>
            </w:pPr>
            <w:r>
              <w:rPr>
                <w:rFonts w:hint="eastAsia"/>
              </w:rPr>
              <w:t>变压吸附法</w:t>
            </w:r>
          </w:p>
        </w:tc>
        <w:tc>
          <w:tcPr>
            <w:tcW w:w="1668" w:type="pct"/>
            <w:vAlign w:val="center"/>
          </w:tcPr>
          <w:p w14:paraId="1C9791AC">
            <w:pPr>
              <w:pStyle w:val="26"/>
            </w:pPr>
            <w:r>
              <w:t>元/吨CO</w:t>
            </w:r>
            <w:r>
              <w:rPr>
                <w:rFonts w:hint="eastAsia"/>
                <w:vertAlign w:val="subscript"/>
              </w:rPr>
              <w:t>2</w:t>
            </w:r>
          </w:p>
        </w:tc>
        <w:tc>
          <w:tcPr>
            <w:tcW w:w="555" w:type="pct"/>
            <w:vAlign w:val="center"/>
          </w:tcPr>
          <w:p w14:paraId="7DBC30B3">
            <w:pPr>
              <w:pStyle w:val="26"/>
            </w:pPr>
            <w:r>
              <w:t>≤200</w:t>
            </w:r>
          </w:p>
        </w:tc>
        <w:tc>
          <w:tcPr>
            <w:tcW w:w="556" w:type="pct"/>
            <w:vAlign w:val="center"/>
          </w:tcPr>
          <w:p w14:paraId="37A52C3A">
            <w:pPr>
              <w:pStyle w:val="26"/>
            </w:pPr>
            <w:r>
              <w:t>≤300</w:t>
            </w:r>
          </w:p>
        </w:tc>
        <w:tc>
          <w:tcPr>
            <w:tcW w:w="555" w:type="pct"/>
            <w:vAlign w:val="center"/>
          </w:tcPr>
          <w:p w14:paraId="569E87CF">
            <w:pPr>
              <w:pStyle w:val="26"/>
            </w:pPr>
            <w:r>
              <w:t>≤400</w:t>
            </w:r>
          </w:p>
        </w:tc>
      </w:tr>
      <w:tr w14:paraId="2ACF4099">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66" w:type="pct"/>
            <w:vAlign w:val="center"/>
          </w:tcPr>
          <w:p w14:paraId="420A7581">
            <w:pPr>
              <w:pStyle w:val="26"/>
            </w:pPr>
            <w:r>
              <w:t>膜分离法</w:t>
            </w:r>
          </w:p>
        </w:tc>
        <w:tc>
          <w:tcPr>
            <w:tcW w:w="1668" w:type="pct"/>
            <w:vAlign w:val="center"/>
          </w:tcPr>
          <w:p w14:paraId="264AA896">
            <w:pPr>
              <w:pStyle w:val="26"/>
            </w:pPr>
            <w:r>
              <w:t>元/吨CO</w:t>
            </w:r>
            <w:r>
              <w:rPr>
                <w:vertAlign w:val="subscript"/>
              </w:rPr>
              <w:t>2</w:t>
            </w:r>
          </w:p>
        </w:tc>
        <w:tc>
          <w:tcPr>
            <w:tcW w:w="555" w:type="pct"/>
            <w:vAlign w:val="center"/>
          </w:tcPr>
          <w:p w14:paraId="19324A5A">
            <w:pPr>
              <w:pStyle w:val="26"/>
            </w:pPr>
            <w:r>
              <w:t>≤200</w:t>
            </w:r>
          </w:p>
        </w:tc>
        <w:tc>
          <w:tcPr>
            <w:tcW w:w="556" w:type="pct"/>
            <w:vAlign w:val="center"/>
          </w:tcPr>
          <w:p w14:paraId="395B1997">
            <w:pPr>
              <w:pStyle w:val="26"/>
            </w:pPr>
            <w:r>
              <w:t>≤300</w:t>
            </w:r>
          </w:p>
        </w:tc>
        <w:tc>
          <w:tcPr>
            <w:tcW w:w="555" w:type="pct"/>
            <w:vAlign w:val="center"/>
          </w:tcPr>
          <w:p w14:paraId="76F186DA">
            <w:pPr>
              <w:pStyle w:val="26"/>
            </w:pPr>
            <w:r>
              <w:t>≤400</w:t>
            </w:r>
          </w:p>
        </w:tc>
      </w:tr>
      <w:tr w14:paraId="6F77D07C">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66" w:type="pct"/>
            <w:vAlign w:val="center"/>
          </w:tcPr>
          <w:p w14:paraId="6BEDFA88">
            <w:pPr>
              <w:pStyle w:val="26"/>
            </w:pPr>
            <w:r>
              <w:t>低温精馏法</w:t>
            </w:r>
          </w:p>
        </w:tc>
        <w:tc>
          <w:tcPr>
            <w:tcW w:w="1668" w:type="pct"/>
            <w:vAlign w:val="center"/>
          </w:tcPr>
          <w:p w14:paraId="23B12227">
            <w:pPr>
              <w:pStyle w:val="26"/>
            </w:pPr>
            <w:r>
              <w:t>元/吨CO</w:t>
            </w:r>
            <w:r>
              <w:rPr>
                <w:vertAlign w:val="subscript"/>
              </w:rPr>
              <w:t>2</w:t>
            </w:r>
          </w:p>
        </w:tc>
        <w:tc>
          <w:tcPr>
            <w:tcW w:w="555" w:type="pct"/>
            <w:vAlign w:val="center"/>
          </w:tcPr>
          <w:p w14:paraId="5D77F7A0">
            <w:pPr>
              <w:pStyle w:val="26"/>
            </w:pPr>
            <w:r>
              <w:t>≤120</w:t>
            </w:r>
          </w:p>
        </w:tc>
        <w:tc>
          <w:tcPr>
            <w:tcW w:w="556" w:type="pct"/>
            <w:vAlign w:val="center"/>
          </w:tcPr>
          <w:p w14:paraId="5E639D93">
            <w:pPr>
              <w:pStyle w:val="26"/>
            </w:pPr>
            <w:r>
              <w:t>≤150</w:t>
            </w:r>
          </w:p>
        </w:tc>
        <w:tc>
          <w:tcPr>
            <w:tcW w:w="555" w:type="pct"/>
            <w:vAlign w:val="center"/>
          </w:tcPr>
          <w:p w14:paraId="2EA0F22F">
            <w:pPr>
              <w:pStyle w:val="26"/>
            </w:pPr>
            <w:r>
              <w:t>≤200</w:t>
            </w:r>
          </w:p>
        </w:tc>
        <w:bookmarkStart w:id="5" w:name="_Toc515069358"/>
      </w:tr>
      <w:bookmarkEnd w:id="5"/>
    </w:tbl>
    <w:p w14:paraId="6EC72106">
      <w:pPr>
        <w:pStyle w:val="23"/>
        <w:ind w:firstLine="480"/>
        <w:rPr>
          <w:rFonts w:cs="Times New Roman"/>
          <w:b/>
          <w:bCs/>
          <w:shd w:val="clear" w:color="auto" w:fill="FFFFFF"/>
        </w:rPr>
      </w:pPr>
      <w:r>
        <w:rPr>
          <w:rFonts w:cs="Times New Roman"/>
          <w:shd w:val="clear" w:color="auto" w:fill="FFFFFF"/>
        </w:rPr>
        <w:t>综合考虑项目</w:t>
      </w:r>
      <w:r>
        <w:rPr>
          <w:rFonts w:hint="eastAsia" w:cs="Times New Roman"/>
          <w:shd w:val="clear" w:color="auto" w:fill="FFFFFF"/>
        </w:rPr>
        <w:t>排放量、排放组成与排放条件</w:t>
      </w:r>
      <w:r>
        <w:rPr>
          <w:rFonts w:cs="Times New Roman"/>
          <w:shd w:val="clear" w:color="auto" w:fill="FFFFFF"/>
        </w:rPr>
        <w:t>，合理选择碳捕集工艺路线，实现降碳减排协同增效；对照煤化工行业碳捕集水平基准对现有碳捕集措施进行</w:t>
      </w:r>
      <w:r>
        <w:rPr>
          <w:rFonts w:hint="eastAsia" w:cs="Times New Roman"/>
          <w:shd w:val="clear" w:color="auto" w:fill="FFFFFF"/>
        </w:rPr>
        <w:t>降碳</w:t>
      </w:r>
      <w:r>
        <w:rPr>
          <w:rFonts w:cs="Times New Roman"/>
          <w:shd w:val="clear" w:color="auto" w:fill="FFFFFF"/>
        </w:rPr>
        <w:t>升级改造，精准发力，低碳转型。</w:t>
      </w:r>
      <w:r>
        <w:rPr>
          <w:rFonts w:cs="Times New Roman"/>
          <w:b/>
          <w:bCs/>
          <w:shd w:val="clear" w:color="auto" w:fill="FFFFFF"/>
        </w:rPr>
        <w:t>本文件将视行业发展和</w:t>
      </w:r>
      <w:bookmarkStart w:id="6" w:name="_Hlk121154667"/>
      <w:r>
        <w:rPr>
          <w:rFonts w:cs="Times New Roman"/>
          <w:b/>
          <w:bCs/>
          <w:shd w:val="clear" w:color="auto" w:fill="FFFFFF"/>
        </w:rPr>
        <w:t>标准制修订情况</w:t>
      </w:r>
      <w:bookmarkEnd w:id="6"/>
      <w:r>
        <w:rPr>
          <w:rFonts w:cs="Times New Roman"/>
          <w:b/>
          <w:bCs/>
          <w:shd w:val="clear" w:color="auto" w:fill="FFFFFF"/>
        </w:rPr>
        <w:t>进行补充完善和动态调整。</w:t>
      </w:r>
    </w:p>
    <w:p w14:paraId="684AD106">
      <w:pPr>
        <w:pStyle w:val="2"/>
        <w:spacing w:before="156" w:after="156"/>
      </w:pPr>
      <w:bookmarkStart w:id="7" w:name="_Toc184600163"/>
      <w:r>
        <w:t>行业概况</w:t>
      </w:r>
      <w:bookmarkEnd w:id="7"/>
    </w:p>
    <w:p w14:paraId="1941B81C">
      <w:pPr>
        <w:pStyle w:val="3"/>
        <w:spacing w:before="156" w:after="156"/>
      </w:pPr>
      <w:bookmarkStart w:id="8" w:name="_Toc184600164"/>
      <w:r>
        <w:t>现代煤化工发展现状</w:t>
      </w:r>
      <w:bookmarkEnd w:id="8"/>
    </w:p>
    <w:p w14:paraId="0940D75A">
      <w:pPr>
        <w:pStyle w:val="23"/>
        <w:spacing w:after="156"/>
        <w:ind w:firstLine="480"/>
        <w:rPr>
          <w:rFonts w:cs="Times New Roman"/>
        </w:rPr>
      </w:pPr>
      <w:r>
        <w:rPr>
          <w:rFonts w:cs="Times New Roman"/>
        </w:rPr>
        <w:t>煤化工是以煤炭为主要原料生产化工产品的行业。根据生产工艺与产品的不同，主要分为煤焦化、煤气化和煤液化三条产品链，其产品链情况见</w:t>
      </w:r>
      <w:r>
        <w:rPr>
          <w:rFonts w:hint="eastAsia" w:cs="Times New Roman"/>
        </w:rPr>
        <w:t>图1</w:t>
      </w:r>
      <w:r>
        <w:rPr>
          <w:rFonts w:cs="Times New Roman"/>
        </w:rPr>
        <w:t>。</w:t>
      </w:r>
    </w:p>
    <w:p w14:paraId="17924E9F">
      <w:pPr>
        <w:pStyle w:val="23"/>
        <w:spacing w:after="156"/>
        <w:ind w:firstLine="482"/>
        <w:rPr>
          <w:rFonts w:cs="Times New Roman"/>
          <w:b/>
          <w:bCs/>
        </w:rPr>
      </w:pPr>
      <w:r>
        <w:rPr>
          <w:rFonts w:cs="Times New Roman"/>
          <w:b/>
          <w:bCs/>
        </w:rPr>
        <w:t>现代煤化工是指以煤为原料，采用新型、先进的化学加工技术，使煤转化为气体、液体或中间产品的过程，主要包括以煤气化、液化为龙头生产合成天然气、合成油、化工产品等能源化工产业。</w:t>
      </w:r>
    </w:p>
    <w:p w14:paraId="2A913AE0">
      <w:pPr>
        <w:pStyle w:val="28"/>
        <w:rPr>
          <w:rFonts w:cs="Times New Roman"/>
        </w:rPr>
      </w:pPr>
      <w:r>
        <w:rPr>
          <w:rFonts w:cs="Times New Roman"/>
        </w:rPr>
        <w:object>
          <v:shape id="_x0000_i1025" o:spt="75" type="#_x0000_t75" style="height:326.25pt;width:363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p>
    <w:p w14:paraId="62DEE2B5">
      <w:pPr>
        <w:pStyle w:val="28"/>
        <w:rPr>
          <w:rFonts w:cs="Times New Roman"/>
        </w:rPr>
      </w:pPr>
      <w:r>
        <w:rPr>
          <w:rFonts w:cs="Times New Roman"/>
        </w:rPr>
        <w:t>图</w:t>
      </w:r>
      <w:r>
        <w:rPr>
          <w:rFonts w:cs="Times New Roman"/>
        </w:rPr>
        <w:fldChar w:fldCharType="begin"/>
      </w:r>
      <w:r>
        <w:rPr>
          <w:rFonts w:cs="Times New Roman"/>
        </w:rPr>
        <w:instrText xml:space="preserve"> SEQ 图 \* ARABIC </w:instrText>
      </w:r>
      <w:r>
        <w:rPr>
          <w:rFonts w:cs="Times New Roman"/>
        </w:rPr>
        <w:fldChar w:fldCharType="separate"/>
      </w:r>
      <w:r>
        <w:rPr>
          <w:rFonts w:cs="Times New Roman"/>
        </w:rPr>
        <w:t>1</w:t>
      </w:r>
      <w:r>
        <w:rPr>
          <w:rFonts w:cs="Times New Roman"/>
        </w:rPr>
        <w:fldChar w:fldCharType="end"/>
      </w:r>
      <w:r>
        <w:rPr>
          <w:rFonts w:cs="Times New Roman"/>
        </w:rPr>
        <w:t xml:space="preserve"> 煤化工产品链</w:t>
      </w:r>
    </w:p>
    <w:p w14:paraId="1BAC1565">
      <w:pPr>
        <w:pStyle w:val="23"/>
        <w:ind w:firstLine="480"/>
        <w:rPr>
          <w:rFonts w:cs="Times New Roman"/>
          <w:szCs w:val="32"/>
        </w:rPr>
      </w:pPr>
      <w:r>
        <w:rPr>
          <w:rFonts w:cs="Times New Roman"/>
          <w:shd w:val="clear" w:color="auto" w:fill="FFFFFF"/>
        </w:rPr>
        <w:t>截至2022年底，国内煤基烯烃产能1825.2万吨/年，共涉30家企业法人单位；其中以煤为原料采用煤炭加压气化等工艺的煤经甲醇制烯烃企业16家，烯烃产能1145.5万吨/年，以外购甲醇为原料经甲醇制烯烃工艺生产烯烃产品的企业14家，产能679.7万吨/年；2022年我国新增投产甲醇制烯烃企业3家，新增烯烃产能116万吨/年。</w:t>
      </w:r>
    </w:p>
    <w:p w14:paraId="33BD7CCA">
      <w:pPr>
        <w:pStyle w:val="23"/>
        <w:ind w:firstLine="480"/>
        <w:rPr>
          <w:rFonts w:cs="Times New Roman"/>
          <w:shd w:val="clear" w:color="auto" w:fill="FFFFFF"/>
        </w:rPr>
      </w:pPr>
      <w:r>
        <w:rPr>
          <w:rFonts w:cs="Times New Roman"/>
          <w:shd w:val="clear" w:color="auto" w:fill="FFFFFF"/>
        </w:rPr>
        <w:t>根据《煤炭工业“十四五”现代煤化工发展指导意见》：到“十四五”末，建成煤制油产能1200万吨，煤制气产能150亿立方米，煤制烯烃产能1500万吨，煤制乙二醇产能800万吨，转化煤量达到1.6亿吨标煤左右。“十四五”末较“十三五”末增加煤制油约270万吨、煤制气约100亿立方米、煤制乙二醇约310万吨。粗略测算碳排放量增加约7400万吨/年。</w:t>
      </w:r>
    </w:p>
    <w:p w14:paraId="1D940E49">
      <w:pPr>
        <w:pStyle w:val="4"/>
        <w:spacing w:before="156" w:after="156"/>
      </w:pPr>
      <w:bookmarkStart w:id="9" w:name="_Toc184600165"/>
      <w:r>
        <w:rPr>
          <w:rFonts w:hint="eastAsia"/>
        </w:rPr>
        <w:t>现代煤化工产业链</w:t>
      </w:r>
      <w:bookmarkEnd w:id="9"/>
    </w:p>
    <w:p w14:paraId="4F9FA795">
      <w:pPr>
        <w:pStyle w:val="23"/>
        <w:ind w:firstLine="480"/>
        <w:rPr>
          <w:rFonts w:cs="Times New Roman"/>
        </w:rPr>
      </w:pPr>
      <w:r>
        <w:rPr>
          <w:rFonts w:cs="Times New Roman"/>
        </w:rPr>
        <w:t>煤化工是指以煤为原料，经化学加工将煤转化为气体、液体和固体燃料以及化学品等的工业过程。煤化工是我国重要的支柱产业，经过百余年的发展历程，在化学工业中占有重要的位置。据统计全国70%的工业燃料和动力、80%的民用商品能源、60%的化工原料是由煤炭提供的。煤化工主要包括煤的气化、液化、干馏以及焦油加工和电石乙炔化工等，其中最重要的三个方向是煤的焦化、气化和液化，煤化工产业按照产业发展成熟度和发展历程分为传统煤化工和现代煤化工两大类。</w:t>
      </w:r>
    </w:p>
    <w:p w14:paraId="3AECDF7D">
      <w:pPr>
        <w:pStyle w:val="23"/>
        <w:ind w:firstLine="480"/>
        <w:rPr>
          <w:rFonts w:cs="Times New Roman"/>
        </w:rPr>
      </w:pPr>
      <w:r>
        <w:rPr>
          <w:rFonts w:cs="Times New Roman"/>
        </w:rPr>
        <w:t>传统煤化工产业链主要指“煤-焦炭”、“煤-电石-PVC”、“煤-合成氨-尿素”三条路线，产品涉及焦炭、电石、合成氨三大类，为国内钢铁和有色重工业、通用塑料、土地肥料领域提供了重要原料。由于我国煤炭资源丰富，国内油、气资源不足，传统煤化工在我国已有很长时间的发展史，三大类产品的产量多年位居世界第一。但过去几年面临着产能过剩、资源能耗高、环境污染大、产业链短、原料和排放物循环利用低等问题。</w:t>
      </w:r>
    </w:p>
    <w:p w14:paraId="2C468884">
      <w:pPr>
        <w:pStyle w:val="23"/>
        <w:ind w:firstLine="480"/>
        <w:rPr>
          <w:rFonts w:cs="Times New Roman"/>
        </w:rPr>
      </w:pPr>
      <w:r>
        <w:rPr>
          <w:rFonts w:cs="Times New Roman"/>
        </w:rPr>
        <w:t>现代煤化工（又名新型煤化工）以生产清洁燃料和基础化工品为目标，主要包括煤液化制油品、煤制天然气、煤（甲醇）制烯烃和芳烃、煤制乙二醇等。相比于传统煤化工，现代煤化工呈现生产规模大、技术含量高、能耗低、产品多、环境友好、市场潜力大等特点。我国现代煤化工始于20世纪末，贯穿“九五”计划至“十四五”规划已发展近30年。目前已形成一定的规模，2013-2020年我国现代煤化工的产能情况进一步呈现逐步上涨趋势。其中2020年煤制油产能1206万吨；煤制天然气产能90亿立方米/年；煤制烯烃产能1632万吨/年；煤制乙二醇产能841万吨/年，煤化工市场空间巨大。“十四五”指导意见中明确指出现代煤化工是提高煤炭清洁高效利用水平，实现煤炭由单一燃料向燃料和原料并重转变的有效途径，对保障国家能源安全稳定供应具有重要的战略意义。</w:t>
      </w:r>
    </w:p>
    <w:p w14:paraId="28EFFC15">
      <w:pPr>
        <w:pStyle w:val="23"/>
        <w:ind w:firstLine="480"/>
        <w:rPr>
          <w:rFonts w:cs="Times New Roman"/>
        </w:rPr>
      </w:pPr>
      <w:r>
        <w:rPr>
          <w:rFonts w:cs="Times New Roman"/>
        </w:rPr>
        <w:t>1.煤的气化是以煤或煤焦(半焦)为原料，以氧气(空气、富氧或纯氧)、水蒸气或氢气等作气化剂，在高温条件下通过部分氧化反应转化为粗合成气（CO、H</w:t>
      </w:r>
      <w:r>
        <w:rPr>
          <w:rFonts w:cs="Times New Roman"/>
          <w:vertAlign w:val="subscript"/>
        </w:rPr>
        <w:t>2</w:t>
      </w:r>
      <w:r>
        <w:rPr>
          <w:rFonts w:cs="Times New Roman"/>
        </w:rPr>
        <w:t>、CH</w:t>
      </w:r>
      <w:r>
        <w:rPr>
          <w:rFonts w:cs="Times New Roman"/>
          <w:vertAlign w:val="subscript"/>
        </w:rPr>
        <w:t>4</w:t>
      </w:r>
      <w:r>
        <w:rPr>
          <w:rFonts w:cs="Times New Roman"/>
        </w:rPr>
        <w:t>）的过程。当前我国的煤气化技术相对成熟，且煤气经过气体净化技术处理，对环境污染程度较低，属于一种高效低污染的洁净煤新技术。随着我国煤气化技术及下游加工技术的不断发展，煤气化得到了广阔的市场，在煤化工中占有重要地位，广泛应用于煤化工制氢、甲醇及其下游产品、天然气、合成油、乙二醇等领域。在主要的煤化工过程中，煤气化过程二氧化碳排放量最多，原因在于煤炭在水蒸气、氧气的存在状态下出现燃烧反应而产生大量的二氧化碳。</w:t>
      </w:r>
    </w:p>
    <w:p w14:paraId="19A67A16">
      <w:pPr>
        <w:pStyle w:val="23"/>
        <w:ind w:firstLine="480"/>
        <w:rPr>
          <w:rFonts w:cs="Times New Roman"/>
        </w:rPr>
      </w:pPr>
      <w:r>
        <w:rPr>
          <w:rFonts w:cs="Times New Roman"/>
        </w:rPr>
        <w:t>2.煤的焦化即煤炭高温干馏，是指在隔绝空气和950℃条件下，将煤经高温干馏转化为焦炭、粗煤气、煤焦油，以及其他化工产品的工艺。煤焦化是应用最早的煤化工工艺，并且至今仍然是化学工业的重要组成部分。煤焦化后的产品主要有焦炭、煤焦油、煤气和化学品三大类。</w:t>
      </w:r>
    </w:p>
    <w:p w14:paraId="22A66A45">
      <w:pPr>
        <w:pStyle w:val="23"/>
        <w:ind w:firstLine="480"/>
        <w:rPr>
          <w:rFonts w:cs="Times New Roman"/>
        </w:rPr>
      </w:pPr>
      <w:r>
        <w:rPr>
          <w:rFonts w:cs="Times New Roman"/>
        </w:rPr>
        <w:t>3.煤的液化是将煤转化为液态燃料，分为直接液化和间接液化。煤直接液化，是指煤在高温高压及催化剂作用下，通过一系列加氢反应生成液态烃类及气体烃，经进一步脱除煤中氧、氮、硫等杂原子的深度转化过程，可以生产汽油、煤油、航空煤油等油品。该工艺反应中的氧和氢的纯度都很高，反应后以水中氧的形式排出，二氧化碳排放量较少，每吨液化油品排放二氧化碳量约2.1吨。煤间接液化，是先经煤气化生产合成气，而后合成气经费托反应生产油品和化学产品的过程。该工艺中煤气化和费托过程均产生二氧化碳，每吨液化产品二氧化碳排放量约为3.3吨。</w:t>
      </w:r>
    </w:p>
    <w:p w14:paraId="11DA90CF">
      <w:pPr>
        <w:pStyle w:val="4"/>
        <w:spacing w:before="156" w:after="156"/>
      </w:pPr>
      <w:bookmarkStart w:id="10" w:name="_Toc184600166"/>
      <w:r>
        <w:rPr>
          <w:rFonts w:hint="eastAsia"/>
        </w:rPr>
        <w:t>煤化工碳排放</w:t>
      </w:r>
      <w:bookmarkEnd w:id="10"/>
    </w:p>
    <w:p w14:paraId="4EA0CAEF">
      <w:pPr>
        <w:pStyle w:val="23"/>
        <w:ind w:firstLine="480"/>
        <w:rPr>
          <w:rFonts w:cs="Times New Roman"/>
        </w:rPr>
      </w:pPr>
      <w:r>
        <w:rPr>
          <w:rFonts w:cs="Times New Roman"/>
        </w:rPr>
        <w:t>传统煤化工过程的CO</w:t>
      </w:r>
      <w:r>
        <w:rPr>
          <w:rFonts w:cs="Times New Roman"/>
          <w:vertAlign w:val="subscript"/>
        </w:rPr>
        <w:t>2</w:t>
      </w:r>
      <w:r>
        <w:rPr>
          <w:rFonts w:cs="Times New Roman"/>
        </w:rPr>
        <w:t>分离技术成熟，分离的CO</w:t>
      </w:r>
      <w:r>
        <w:rPr>
          <w:rFonts w:cs="Times New Roman"/>
          <w:vertAlign w:val="subscript"/>
        </w:rPr>
        <w:t>2</w:t>
      </w:r>
      <w:r>
        <w:rPr>
          <w:rFonts w:cs="Times New Roman"/>
        </w:rPr>
        <w:t>通常被作为食品添加剂、化肥和其他化工产品的原料等，但规模不大。现代新型煤化工是以生产洁净能源和可替代石油化工的产品为主，在生产过程中会排放大量的高纯度CO</w:t>
      </w:r>
      <w:r>
        <w:rPr>
          <w:rFonts w:cs="Times New Roman"/>
          <w:vertAlign w:val="subscript"/>
        </w:rPr>
        <w:t>2</w:t>
      </w:r>
      <w:r>
        <w:rPr>
          <w:rFonts w:cs="Times New Roman"/>
        </w:rPr>
        <w:t>。煤化工产业链中子行业由于原料和生产工艺不同，导致其单位产品的碳排放量（即碳排放系数，是指每一种能源燃烧或使用过程中单位能源所产生的碳排放数量）差别较大。总体而言，传统煤化工产业碳排放系数较小，其中煤焦化的碳排放系数最小，约为0.24吨/吨（以CO</w:t>
      </w:r>
      <w:r>
        <w:rPr>
          <w:rFonts w:cs="Times New Roman"/>
          <w:vertAlign w:val="subscript"/>
        </w:rPr>
        <w:t>2</w:t>
      </w:r>
      <w:r>
        <w:rPr>
          <w:rFonts w:cs="Times New Roman"/>
        </w:rPr>
        <w:t>计）。现代煤化工由于规模大，工艺路线长，综合能耗高，因此其碳排放系数较大，基本在4.03~10.6吨/吨（以CO</w:t>
      </w:r>
      <w:r>
        <w:rPr>
          <w:rFonts w:cs="Times New Roman"/>
          <w:vertAlign w:val="subscript"/>
        </w:rPr>
        <w:t>2</w:t>
      </w:r>
      <w:r>
        <w:rPr>
          <w:rFonts w:cs="Times New Roman"/>
        </w:rPr>
        <w:t>计）；其中煤制烯烃工艺路线最长，单位产品碳排放系数最高，约为10.6吨/吨（以CO</w:t>
      </w:r>
      <w:r>
        <w:rPr>
          <w:rFonts w:cs="Times New Roman"/>
          <w:vertAlign w:val="subscript"/>
        </w:rPr>
        <w:t>2</w:t>
      </w:r>
      <w:r>
        <w:rPr>
          <w:rFonts w:cs="Times New Roman"/>
        </w:rPr>
        <w:t>计）。2010-2019年间，我国现代煤化工产业碳排放量迅速增长，至2019年时达至1.8~1.96亿吨/年，约占全国总碳排放量的2%，其中煤制烯烃与煤制油的碳排放增速最快。根据预测，我国现代煤化工行业</w:t>
      </w:r>
      <w:bookmarkStart w:id="11" w:name="_Hlk184406174"/>
      <w:r>
        <w:rPr>
          <w:rFonts w:cs="Times New Roman"/>
        </w:rPr>
        <w:t>CO</w:t>
      </w:r>
      <w:r>
        <w:rPr>
          <w:rFonts w:cs="Times New Roman"/>
          <w:vertAlign w:val="subscript"/>
        </w:rPr>
        <w:t>2</w:t>
      </w:r>
      <w:bookmarkEnd w:id="11"/>
      <w:r>
        <w:rPr>
          <w:rFonts w:cs="Times New Roman"/>
        </w:rPr>
        <w:t>排放量将在2025~2030年间达到峰值，约为2.57~3.39亿吨/年，随后逐年下降。</w:t>
      </w:r>
    </w:p>
    <w:p w14:paraId="07691499">
      <w:pPr>
        <w:pStyle w:val="3"/>
        <w:spacing w:before="156" w:after="156"/>
      </w:pPr>
      <w:bookmarkStart w:id="12" w:name="_Toc184600167"/>
      <w:r>
        <w:rPr>
          <w:rFonts w:hint="eastAsia"/>
        </w:rPr>
        <w:t>现代煤化工常见工艺</w:t>
      </w:r>
      <w:bookmarkEnd w:id="12"/>
    </w:p>
    <w:p w14:paraId="35605291">
      <w:pPr>
        <w:pStyle w:val="23"/>
        <w:ind w:firstLine="480"/>
        <w:rPr>
          <w:rFonts w:cs="Times New Roman"/>
        </w:rPr>
      </w:pPr>
      <w:r>
        <w:rPr>
          <w:rFonts w:cs="Times New Roman"/>
        </w:rPr>
        <w:t>现代煤化工（又名新型煤化工）以生产清洁燃料和基础化工品为目标，主要包括煤制甲醇、煤制烯烃、煤炭气化和煤炭液化等。相比于传统煤化工，现代煤化工呈现生产规模大、技术含量高、能耗低、产品多、环境友好、市场潜力大等特点。我国现代煤化工始于20世纪末，贯穿“九五”计划至“十四五”规划已发展近30年。目前已形成一定的规模，2013-2020年我国现代煤化工的产能情况进一步呈现逐步上涨趋势。其中2020年煤制油产能1206万吨；煤制天然气产能90亿立方米/年；煤制烯烃产能1632万吨/年；煤制乙二醇产能841万吨/年，煤化工市场空间巨大。“十四五”指导意见中明确指出现代煤化工是提高煤炭清洁高效利用水平，实现煤炭由单一燃料向燃料和原料并重转变的有效途径，对保障国家能源安全稳定供应具有重要的战略意义。从技术水平上，我国已经具有自主知识产权的现代煤化工工艺技术，整体达到了世界先进水平。但仍存在一定的问题，煤化工资源综合利用水平低和产品同质化问题突出，面临资源、环境等方面的刚性约束持续加强等。因此，未来几年是现代煤化工高质量发展的关键阶段，进一步加强传统煤炭行业的转型升级，不断向清洁高效绿色低碳方向发展是必然趋势。未来的煤化工行业必将选择高端、清洁路线，而高碳排放的产能扩张将会受到限制。同时，煤化工必将加速行业内的技术升级，提高煤炭资源的利用率、降低产品的碳耗。</w:t>
      </w:r>
    </w:p>
    <w:p w14:paraId="0658E22B">
      <w:pPr>
        <w:pStyle w:val="4"/>
        <w:spacing w:before="156" w:after="156"/>
      </w:pPr>
      <w:bookmarkStart w:id="13" w:name="_Toc184600168"/>
      <w:r>
        <w:t>煤制甲醇</w:t>
      </w:r>
      <w:bookmarkEnd w:id="13"/>
    </w:p>
    <w:p w14:paraId="5AF4EEF2">
      <w:pPr>
        <w:pStyle w:val="23"/>
        <w:ind w:firstLine="480"/>
        <w:rPr>
          <w:rFonts w:cs="Times New Roman"/>
        </w:rPr>
      </w:pPr>
      <w:r>
        <w:rPr>
          <w:rFonts w:cs="Times New Roman"/>
        </w:rPr>
        <w:t>煤制甲醇的工艺原理主要是通过无氧干馏将煤转化为含有固体产物和煤气的混合物，然后通过煤气化将固体产物转化为合成气，接着对合成气进行处理以净化气体，最后利用催化剂将合成气转化为甲醇。这一过程不仅可以有效利用煤炭资源，还可以生产清洁能源，对于我国能源结构的调整和环境保护具有重要意义。</w:t>
      </w:r>
    </w:p>
    <w:p w14:paraId="017FB0E8">
      <w:pPr>
        <w:pStyle w:val="23"/>
        <w:keepNext/>
        <w:ind w:firstLine="0" w:firstLineChars="0"/>
        <w:jc w:val="center"/>
        <w:rPr>
          <w:rFonts w:cs="Times New Roman"/>
        </w:rPr>
      </w:pPr>
      <w:r>
        <w:rPr>
          <w:rFonts w:cs="Times New Roman"/>
        </w:rPr>
        <w:object>
          <v:shape id="_x0000_i1026" o:spt="75" type="#_x0000_t75" style="height:201.75pt;width:432pt;" o:ole="t" filled="f" o:preferrelative="t" stroked="f" coordsize="21600,21600">
            <v:path/>
            <v:fill on="f" focussize="0,0"/>
            <v:stroke on="f" joinstyle="miter"/>
            <v:imagedata r:id="rId11" cropleft="10591f" croptop="10202f" cropright="24767f" cropbottom="13603f" o:title=""/>
            <o:lock v:ext="edit" aspectratio="t"/>
            <w10:wrap type="none"/>
            <w10:anchorlock/>
          </v:shape>
          <o:OLEObject Type="Embed" ProgID="AutoCAD.Drawing.24" ShapeID="_x0000_i1026" DrawAspect="Content" ObjectID="_1468075726" r:id="rId10">
            <o:LockedField>false</o:LockedField>
          </o:OLEObject>
        </w:object>
      </w:r>
      <w:r>
        <w:rPr>
          <w:rStyle w:val="31"/>
          <w:rFonts w:cs="Times New Roman"/>
        </w:rPr>
        <w:t>图</w:t>
      </w:r>
      <w:r>
        <w:rPr>
          <w:rStyle w:val="31"/>
          <w:rFonts w:cs="Times New Roman"/>
        </w:rPr>
        <w:fldChar w:fldCharType="begin"/>
      </w:r>
      <w:r>
        <w:rPr>
          <w:rStyle w:val="31"/>
          <w:rFonts w:cs="Times New Roman"/>
        </w:rPr>
        <w:instrText xml:space="preserve"> SEQ 图 \* ARABIC </w:instrText>
      </w:r>
      <w:r>
        <w:rPr>
          <w:rStyle w:val="31"/>
          <w:rFonts w:cs="Times New Roman"/>
        </w:rPr>
        <w:fldChar w:fldCharType="separate"/>
      </w:r>
      <w:r>
        <w:rPr>
          <w:rStyle w:val="31"/>
          <w:rFonts w:cs="Times New Roman"/>
        </w:rPr>
        <w:t>2</w:t>
      </w:r>
      <w:r>
        <w:rPr>
          <w:rStyle w:val="31"/>
          <w:rFonts w:cs="Times New Roman"/>
        </w:rPr>
        <w:fldChar w:fldCharType="end"/>
      </w:r>
      <w:r>
        <w:rPr>
          <w:rStyle w:val="31"/>
          <w:rFonts w:cs="Times New Roman"/>
        </w:rPr>
        <w:t xml:space="preserve"> 煤制甲醇工艺流程图</w:t>
      </w:r>
    </w:p>
    <w:p w14:paraId="1AB2527B">
      <w:pPr>
        <w:pStyle w:val="23"/>
        <w:ind w:firstLine="480"/>
        <w:rPr>
          <w:rFonts w:cs="Times New Roman"/>
        </w:rPr>
      </w:pPr>
      <w:r>
        <w:rPr>
          <w:rFonts w:cs="Times New Roman"/>
        </w:rPr>
        <w:t>甲醇装置正常生产过程中产生的“废气”主要有驰放气、CO</w:t>
      </w:r>
      <w:r>
        <w:rPr>
          <w:rFonts w:cs="Times New Roman"/>
          <w:vertAlign w:val="subscript"/>
        </w:rPr>
        <w:t>2</w:t>
      </w:r>
      <w:r>
        <w:rPr>
          <w:rFonts w:cs="Times New Roman"/>
        </w:rPr>
        <w:t>放空气及酸脱尾气等，主要产生源在酸脱工序和甲醇合成工序。</w:t>
      </w:r>
    </w:p>
    <w:p w14:paraId="4612F3E1">
      <w:pPr>
        <w:pStyle w:val="23"/>
        <w:ind w:firstLine="480"/>
        <w:rPr>
          <w:rFonts w:cs="Times New Roman"/>
        </w:rPr>
      </w:pPr>
      <w:r>
        <w:rPr>
          <w:rFonts w:cs="Times New Roman"/>
        </w:rPr>
        <w:t>驰放气产生于甲醇合成工序，进入甲醇合成系统的新鲜气中含量一定量的氮气、甲烷、氩气等惰性气体，在系统中不断累积，使系统压力逐渐升高。为保证合成系统压力平衡，必须在甲醇分离器出口连续不断地排出一部分气体至放空总管，这部分气体称为“驰放气”。此外，随着合成催化剂活性逐步衰减，单程合成率下降，系统压力升高，“驰放气”排放量将逐渐增大。驰放气量的大小、组成与新鲜合成气中惰性气体的含量及合成催化剂的活性有关，其成分和工艺参数如下表：</w:t>
      </w:r>
    </w:p>
    <w:p w14:paraId="6022D0BF">
      <w:pPr>
        <w:pStyle w:val="28"/>
        <w:rPr>
          <w:rFonts w:cs="Times New Roman"/>
        </w:rPr>
      </w:pPr>
      <w:r>
        <w:rPr>
          <w:rFonts w:cs="Times New Roman"/>
        </w:rPr>
        <w:t>表</w:t>
      </w:r>
      <w:r>
        <w:rPr>
          <w:rFonts w:cs="Times New Roman"/>
        </w:rPr>
        <w:fldChar w:fldCharType="begin"/>
      </w:r>
      <w:r>
        <w:rPr>
          <w:rFonts w:cs="Times New Roman"/>
        </w:rPr>
        <w:instrText xml:space="preserve"> SEQ 表 \* ARABIC </w:instrText>
      </w:r>
      <w:r>
        <w:rPr>
          <w:rFonts w:cs="Times New Roman"/>
        </w:rPr>
        <w:fldChar w:fldCharType="separate"/>
      </w:r>
      <w:r>
        <w:rPr>
          <w:rFonts w:cs="Times New Roman"/>
        </w:rPr>
        <w:t>4</w:t>
      </w:r>
      <w:r>
        <w:rPr>
          <w:rFonts w:cs="Times New Roman"/>
        </w:rPr>
        <w:fldChar w:fldCharType="end"/>
      </w:r>
      <w:r>
        <w:rPr>
          <w:rFonts w:cs="Times New Roman"/>
        </w:rPr>
        <w:t xml:space="preserve"> 驰放气工艺参数表</w:t>
      </w:r>
    </w:p>
    <w:tbl>
      <w:tblPr>
        <w:tblStyle w:val="17"/>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24"/>
        <w:gridCol w:w="695"/>
        <w:gridCol w:w="2301"/>
        <w:gridCol w:w="2301"/>
        <w:gridCol w:w="2301"/>
      </w:tblGrid>
      <w:tr w14:paraId="3DC35E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542" w:type="pct"/>
            <w:tcBorders>
              <w:top w:val="single" w:color="auto" w:sz="12" w:space="0"/>
              <w:bottom w:val="single" w:color="auto" w:sz="6" w:space="0"/>
            </w:tcBorders>
            <w:vAlign w:val="center"/>
          </w:tcPr>
          <w:p w14:paraId="32AF14FE">
            <w:pPr>
              <w:pStyle w:val="26"/>
              <w:keepNext/>
            </w:pPr>
            <w:r>
              <w:t>项目</w:t>
            </w:r>
          </w:p>
        </w:tc>
        <w:tc>
          <w:tcPr>
            <w:tcW w:w="408" w:type="pct"/>
            <w:tcBorders>
              <w:top w:val="single" w:color="auto" w:sz="12" w:space="0"/>
              <w:bottom w:val="single" w:color="auto" w:sz="6" w:space="0"/>
            </w:tcBorders>
            <w:vAlign w:val="center"/>
          </w:tcPr>
          <w:p w14:paraId="01C51371">
            <w:pPr>
              <w:pStyle w:val="26"/>
              <w:keepNext/>
            </w:pPr>
            <w:r>
              <w:t>单位</w:t>
            </w:r>
          </w:p>
        </w:tc>
        <w:tc>
          <w:tcPr>
            <w:tcW w:w="1350" w:type="pct"/>
            <w:tcBorders>
              <w:top w:val="single" w:color="auto" w:sz="12" w:space="0"/>
              <w:bottom w:val="single" w:color="auto" w:sz="6" w:space="0"/>
            </w:tcBorders>
            <w:vAlign w:val="center"/>
          </w:tcPr>
          <w:p w14:paraId="00878E40">
            <w:pPr>
              <w:pStyle w:val="26"/>
              <w:keepNext/>
            </w:pPr>
            <w:r>
              <w:t>合成催化剂活性初期</w:t>
            </w:r>
          </w:p>
        </w:tc>
        <w:tc>
          <w:tcPr>
            <w:tcW w:w="1350" w:type="pct"/>
            <w:tcBorders>
              <w:top w:val="single" w:color="auto" w:sz="12" w:space="0"/>
              <w:bottom w:val="single" w:color="auto" w:sz="6" w:space="0"/>
            </w:tcBorders>
            <w:vAlign w:val="center"/>
          </w:tcPr>
          <w:p w14:paraId="6B68E991">
            <w:pPr>
              <w:pStyle w:val="26"/>
              <w:keepNext/>
            </w:pPr>
            <w:r>
              <w:t>合成催化剂活性中期</w:t>
            </w:r>
          </w:p>
        </w:tc>
        <w:tc>
          <w:tcPr>
            <w:tcW w:w="1350" w:type="pct"/>
            <w:tcBorders>
              <w:top w:val="single" w:color="auto" w:sz="12" w:space="0"/>
              <w:bottom w:val="single" w:color="auto" w:sz="6" w:space="0"/>
            </w:tcBorders>
            <w:vAlign w:val="center"/>
          </w:tcPr>
          <w:p w14:paraId="32D558FB">
            <w:pPr>
              <w:pStyle w:val="26"/>
              <w:keepNext/>
            </w:pPr>
            <w:r>
              <w:t>合成催化剂活性末期</w:t>
            </w:r>
          </w:p>
        </w:tc>
      </w:tr>
      <w:tr w14:paraId="1AB99E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7" w:hRule="atLeast"/>
          <w:jc w:val="center"/>
        </w:trPr>
        <w:tc>
          <w:tcPr>
            <w:tcW w:w="542" w:type="pct"/>
            <w:tcBorders>
              <w:top w:val="single" w:color="auto" w:sz="6" w:space="0"/>
            </w:tcBorders>
            <w:vAlign w:val="center"/>
          </w:tcPr>
          <w:p w14:paraId="0B1A26CA">
            <w:pPr>
              <w:pStyle w:val="26"/>
              <w:keepNext/>
            </w:pPr>
            <w:r>
              <w:rPr/>
              <w:sym w:font="Symbol" w:char="F06A"/>
            </w:r>
            <w:r>
              <w:t>(H</w:t>
            </w:r>
            <w:r>
              <w:rPr>
                <w:vertAlign w:val="subscript"/>
              </w:rPr>
              <w:t>2</w:t>
            </w:r>
            <w:r>
              <w:t>)</w:t>
            </w:r>
          </w:p>
        </w:tc>
        <w:tc>
          <w:tcPr>
            <w:tcW w:w="408" w:type="pct"/>
            <w:vMerge w:val="restart"/>
            <w:tcBorders>
              <w:top w:val="single" w:color="auto" w:sz="6" w:space="0"/>
            </w:tcBorders>
            <w:vAlign w:val="center"/>
          </w:tcPr>
          <w:p w14:paraId="054ECE35">
            <w:pPr>
              <w:pStyle w:val="26"/>
              <w:keepNext/>
            </w:pPr>
            <w:r>
              <w:t>%</w:t>
            </w:r>
          </w:p>
        </w:tc>
        <w:tc>
          <w:tcPr>
            <w:tcW w:w="1350" w:type="pct"/>
            <w:tcBorders>
              <w:top w:val="single" w:color="auto" w:sz="6" w:space="0"/>
            </w:tcBorders>
            <w:vAlign w:val="center"/>
          </w:tcPr>
          <w:p w14:paraId="3B496AEC">
            <w:pPr>
              <w:pStyle w:val="26"/>
              <w:keepNext/>
            </w:pPr>
            <w:r>
              <w:t>47.8</w:t>
            </w:r>
          </w:p>
        </w:tc>
        <w:tc>
          <w:tcPr>
            <w:tcW w:w="1350" w:type="pct"/>
            <w:tcBorders>
              <w:top w:val="single" w:color="auto" w:sz="6" w:space="0"/>
            </w:tcBorders>
            <w:vAlign w:val="center"/>
          </w:tcPr>
          <w:p w14:paraId="0A97A4E6">
            <w:pPr>
              <w:pStyle w:val="26"/>
              <w:keepNext/>
            </w:pPr>
            <w:r>
              <w:t>50.54</w:t>
            </w:r>
          </w:p>
        </w:tc>
        <w:tc>
          <w:tcPr>
            <w:tcW w:w="1350" w:type="pct"/>
            <w:tcBorders>
              <w:top w:val="single" w:color="auto" w:sz="6" w:space="0"/>
            </w:tcBorders>
            <w:vAlign w:val="center"/>
          </w:tcPr>
          <w:p w14:paraId="769DB1C4">
            <w:pPr>
              <w:pStyle w:val="26"/>
              <w:keepNext/>
            </w:pPr>
            <w:r>
              <w:t>60.6</w:t>
            </w:r>
          </w:p>
        </w:tc>
      </w:tr>
      <w:tr w14:paraId="5FAD4E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542" w:type="pct"/>
            <w:vAlign w:val="center"/>
          </w:tcPr>
          <w:p w14:paraId="5E013B95">
            <w:pPr>
              <w:pStyle w:val="26"/>
              <w:keepNext/>
            </w:pPr>
            <w:r>
              <w:rPr/>
              <w:sym w:font="Symbol" w:char="F06A"/>
            </w:r>
            <w:r>
              <w:t>(CO)</w:t>
            </w:r>
          </w:p>
        </w:tc>
        <w:tc>
          <w:tcPr>
            <w:tcW w:w="408" w:type="pct"/>
            <w:vMerge w:val="continue"/>
            <w:vAlign w:val="center"/>
          </w:tcPr>
          <w:p w14:paraId="7057A2BC">
            <w:pPr>
              <w:pStyle w:val="26"/>
              <w:keepNext/>
            </w:pPr>
          </w:p>
        </w:tc>
        <w:tc>
          <w:tcPr>
            <w:tcW w:w="1350" w:type="pct"/>
            <w:vAlign w:val="center"/>
          </w:tcPr>
          <w:p w14:paraId="6D0AFDCE">
            <w:pPr>
              <w:pStyle w:val="26"/>
              <w:keepNext/>
            </w:pPr>
            <w:r>
              <w:t>3.29</w:t>
            </w:r>
          </w:p>
        </w:tc>
        <w:tc>
          <w:tcPr>
            <w:tcW w:w="1350" w:type="pct"/>
            <w:vAlign w:val="center"/>
          </w:tcPr>
          <w:p w14:paraId="59B7BD3F">
            <w:pPr>
              <w:pStyle w:val="26"/>
              <w:keepNext/>
            </w:pPr>
            <w:r>
              <w:t>4.83</w:t>
            </w:r>
          </w:p>
        </w:tc>
        <w:tc>
          <w:tcPr>
            <w:tcW w:w="1350" w:type="pct"/>
            <w:vAlign w:val="center"/>
          </w:tcPr>
          <w:p w14:paraId="78E40C00">
            <w:pPr>
              <w:pStyle w:val="26"/>
              <w:keepNext/>
            </w:pPr>
            <w:r>
              <w:t>8.04</w:t>
            </w:r>
          </w:p>
        </w:tc>
      </w:tr>
      <w:tr w14:paraId="547CF2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542" w:type="pct"/>
            <w:vAlign w:val="center"/>
          </w:tcPr>
          <w:p w14:paraId="16A340A4">
            <w:pPr>
              <w:pStyle w:val="26"/>
              <w:keepNext/>
            </w:pPr>
            <w:r>
              <w:rPr/>
              <w:sym w:font="Symbol" w:char="F06A"/>
            </w:r>
            <w:r>
              <w:t>(CO</w:t>
            </w:r>
            <w:r>
              <w:rPr>
                <w:vertAlign w:val="subscript"/>
              </w:rPr>
              <w:t>2</w:t>
            </w:r>
            <w:r>
              <w:t>)</w:t>
            </w:r>
          </w:p>
        </w:tc>
        <w:tc>
          <w:tcPr>
            <w:tcW w:w="408" w:type="pct"/>
            <w:vMerge w:val="continue"/>
            <w:vAlign w:val="center"/>
          </w:tcPr>
          <w:p w14:paraId="0FF38FAD">
            <w:pPr>
              <w:pStyle w:val="26"/>
              <w:keepNext/>
            </w:pPr>
          </w:p>
        </w:tc>
        <w:tc>
          <w:tcPr>
            <w:tcW w:w="1350" w:type="pct"/>
            <w:vAlign w:val="center"/>
          </w:tcPr>
          <w:p w14:paraId="0DDB86E4">
            <w:pPr>
              <w:pStyle w:val="26"/>
              <w:keepNext/>
            </w:pPr>
            <w:r>
              <w:t>4.18</w:t>
            </w:r>
          </w:p>
        </w:tc>
        <w:tc>
          <w:tcPr>
            <w:tcW w:w="1350" w:type="pct"/>
            <w:vAlign w:val="center"/>
          </w:tcPr>
          <w:p w14:paraId="39D27E4B">
            <w:pPr>
              <w:pStyle w:val="26"/>
              <w:keepNext/>
            </w:pPr>
            <w:r>
              <w:t>4.44</w:t>
            </w:r>
          </w:p>
        </w:tc>
        <w:tc>
          <w:tcPr>
            <w:tcW w:w="1350" w:type="pct"/>
            <w:vAlign w:val="center"/>
          </w:tcPr>
          <w:p w14:paraId="5B43D631">
            <w:pPr>
              <w:pStyle w:val="26"/>
              <w:keepNext/>
            </w:pPr>
            <w:r>
              <w:t>3.77</w:t>
            </w:r>
          </w:p>
        </w:tc>
      </w:tr>
      <w:tr w14:paraId="5F18F5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7" w:hRule="atLeast"/>
          <w:jc w:val="center"/>
        </w:trPr>
        <w:tc>
          <w:tcPr>
            <w:tcW w:w="542" w:type="pct"/>
            <w:vAlign w:val="center"/>
          </w:tcPr>
          <w:p w14:paraId="58725335">
            <w:pPr>
              <w:pStyle w:val="26"/>
              <w:keepNext/>
            </w:pPr>
            <w:r>
              <w:rPr/>
              <w:sym w:font="Symbol" w:char="F06A"/>
            </w:r>
            <w:r>
              <w:t>(N</w:t>
            </w:r>
            <w:r>
              <w:rPr>
                <w:vertAlign w:val="subscript"/>
              </w:rPr>
              <w:t>2</w:t>
            </w:r>
            <w:r>
              <w:t>)</w:t>
            </w:r>
          </w:p>
        </w:tc>
        <w:tc>
          <w:tcPr>
            <w:tcW w:w="408" w:type="pct"/>
            <w:vMerge w:val="continue"/>
            <w:vAlign w:val="center"/>
          </w:tcPr>
          <w:p w14:paraId="34EEEA60">
            <w:pPr>
              <w:pStyle w:val="26"/>
              <w:keepNext/>
            </w:pPr>
          </w:p>
        </w:tc>
        <w:tc>
          <w:tcPr>
            <w:tcW w:w="1350" w:type="pct"/>
            <w:vAlign w:val="center"/>
          </w:tcPr>
          <w:p w14:paraId="4CA241B6">
            <w:pPr>
              <w:pStyle w:val="26"/>
              <w:keepNext/>
            </w:pPr>
            <w:r>
              <w:t>40.2</w:t>
            </w:r>
          </w:p>
        </w:tc>
        <w:tc>
          <w:tcPr>
            <w:tcW w:w="1350" w:type="pct"/>
            <w:vAlign w:val="center"/>
          </w:tcPr>
          <w:p w14:paraId="07BFBEFC">
            <w:pPr>
              <w:pStyle w:val="26"/>
              <w:keepNext/>
            </w:pPr>
            <w:r>
              <w:t>36.52</w:t>
            </w:r>
          </w:p>
        </w:tc>
        <w:tc>
          <w:tcPr>
            <w:tcW w:w="1350" w:type="pct"/>
            <w:vAlign w:val="center"/>
          </w:tcPr>
          <w:p w14:paraId="620E712F">
            <w:pPr>
              <w:pStyle w:val="26"/>
              <w:keepNext/>
            </w:pPr>
            <w:r>
              <w:t>23.7</w:t>
            </w:r>
          </w:p>
        </w:tc>
      </w:tr>
      <w:tr w14:paraId="03088F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542" w:type="pct"/>
            <w:vAlign w:val="center"/>
          </w:tcPr>
          <w:p w14:paraId="5B86C9DC">
            <w:pPr>
              <w:pStyle w:val="26"/>
              <w:keepNext/>
            </w:pPr>
            <w:r>
              <w:rPr/>
              <w:sym w:font="Symbol" w:char="F06A"/>
            </w:r>
            <w:r>
              <w:t>(CH</w:t>
            </w:r>
            <w:r>
              <w:rPr>
                <w:vertAlign w:val="subscript"/>
              </w:rPr>
              <w:t>4</w:t>
            </w:r>
            <w:r>
              <w:t>)</w:t>
            </w:r>
          </w:p>
        </w:tc>
        <w:tc>
          <w:tcPr>
            <w:tcW w:w="408" w:type="pct"/>
            <w:vMerge w:val="continue"/>
            <w:vAlign w:val="center"/>
          </w:tcPr>
          <w:p w14:paraId="5CFADCAE">
            <w:pPr>
              <w:pStyle w:val="26"/>
              <w:keepNext/>
            </w:pPr>
          </w:p>
        </w:tc>
        <w:tc>
          <w:tcPr>
            <w:tcW w:w="1350" w:type="pct"/>
            <w:vAlign w:val="center"/>
          </w:tcPr>
          <w:p w14:paraId="1EF0DE4C">
            <w:pPr>
              <w:pStyle w:val="26"/>
              <w:keepNext/>
            </w:pPr>
            <w:r>
              <w:t>3.54</w:t>
            </w:r>
          </w:p>
        </w:tc>
        <w:tc>
          <w:tcPr>
            <w:tcW w:w="1350" w:type="pct"/>
            <w:vAlign w:val="center"/>
          </w:tcPr>
          <w:p w14:paraId="198CD058">
            <w:pPr>
              <w:pStyle w:val="26"/>
              <w:keepNext/>
            </w:pPr>
            <w:r>
              <w:t>3.38</w:t>
            </w:r>
          </w:p>
        </w:tc>
        <w:tc>
          <w:tcPr>
            <w:tcW w:w="1350" w:type="pct"/>
            <w:vAlign w:val="center"/>
          </w:tcPr>
          <w:p w14:paraId="4A21856D">
            <w:pPr>
              <w:pStyle w:val="26"/>
              <w:keepNext/>
            </w:pPr>
            <w:r>
              <w:t>3.69</w:t>
            </w:r>
          </w:p>
        </w:tc>
      </w:tr>
      <w:tr w14:paraId="148AAB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7" w:hRule="atLeast"/>
          <w:jc w:val="center"/>
        </w:trPr>
        <w:tc>
          <w:tcPr>
            <w:tcW w:w="542" w:type="pct"/>
            <w:tcBorders>
              <w:bottom w:val="single" w:color="auto" w:sz="6" w:space="0"/>
            </w:tcBorders>
            <w:vAlign w:val="center"/>
          </w:tcPr>
          <w:p w14:paraId="7A64A123">
            <w:pPr>
              <w:pStyle w:val="26"/>
              <w:keepNext/>
            </w:pPr>
            <w:r>
              <w:rPr/>
              <w:sym w:font="Symbol" w:char="F06A"/>
            </w:r>
            <w:r>
              <w:t>(Ar)</w:t>
            </w:r>
          </w:p>
        </w:tc>
        <w:tc>
          <w:tcPr>
            <w:tcW w:w="408" w:type="pct"/>
            <w:vMerge w:val="continue"/>
            <w:tcBorders>
              <w:bottom w:val="single" w:color="auto" w:sz="6" w:space="0"/>
            </w:tcBorders>
            <w:vAlign w:val="center"/>
          </w:tcPr>
          <w:p w14:paraId="0186BD7F">
            <w:pPr>
              <w:pStyle w:val="26"/>
              <w:keepNext/>
            </w:pPr>
          </w:p>
        </w:tc>
        <w:tc>
          <w:tcPr>
            <w:tcW w:w="1350" w:type="pct"/>
            <w:tcBorders>
              <w:bottom w:val="single" w:color="auto" w:sz="6" w:space="0"/>
            </w:tcBorders>
            <w:vAlign w:val="center"/>
          </w:tcPr>
          <w:p w14:paraId="29206C68">
            <w:pPr>
              <w:pStyle w:val="26"/>
              <w:keepNext/>
            </w:pPr>
            <w:r>
              <w:t>0.3</w:t>
            </w:r>
          </w:p>
        </w:tc>
        <w:tc>
          <w:tcPr>
            <w:tcW w:w="1350" w:type="pct"/>
            <w:tcBorders>
              <w:bottom w:val="single" w:color="auto" w:sz="6" w:space="0"/>
            </w:tcBorders>
            <w:vAlign w:val="center"/>
          </w:tcPr>
          <w:p w14:paraId="5BEB9F42">
            <w:pPr>
              <w:pStyle w:val="26"/>
              <w:keepNext/>
            </w:pPr>
            <w:r>
              <w:t>0.28</w:t>
            </w:r>
          </w:p>
        </w:tc>
        <w:tc>
          <w:tcPr>
            <w:tcW w:w="1350" w:type="pct"/>
            <w:tcBorders>
              <w:bottom w:val="single" w:color="auto" w:sz="6" w:space="0"/>
            </w:tcBorders>
            <w:vAlign w:val="center"/>
          </w:tcPr>
          <w:p w14:paraId="79498545">
            <w:pPr>
              <w:pStyle w:val="26"/>
              <w:keepNext/>
            </w:pPr>
            <w:r>
              <w:t>0.23</w:t>
            </w:r>
          </w:p>
        </w:tc>
      </w:tr>
      <w:tr w14:paraId="4CE74E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7" w:hRule="atLeast"/>
          <w:jc w:val="center"/>
        </w:trPr>
        <w:tc>
          <w:tcPr>
            <w:tcW w:w="542" w:type="pct"/>
            <w:tcBorders>
              <w:top w:val="single" w:color="auto" w:sz="6" w:space="0"/>
            </w:tcBorders>
            <w:vAlign w:val="center"/>
          </w:tcPr>
          <w:p w14:paraId="26F30A67">
            <w:pPr>
              <w:pStyle w:val="26"/>
              <w:keepNext/>
            </w:pPr>
            <w:r>
              <w:t>温度</w:t>
            </w:r>
          </w:p>
        </w:tc>
        <w:tc>
          <w:tcPr>
            <w:tcW w:w="408" w:type="pct"/>
            <w:tcBorders>
              <w:top w:val="single" w:color="auto" w:sz="6" w:space="0"/>
            </w:tcBorders>
            <w:vAlign w:val="center"/>
          </w:tcPr>
          <w:p w14:paraId="54E2E0B1">
            <w:pPr>
              <w:pStyle w:val="26"/>
              <w:keepNext/>
            </w:pPr>
            <w:r>
              <w:t>℃</w:t>
            </w:r>
          </w:p>
        </w:tc>
        <w:tc>
          <w:tcPr>
            <w:tcW w:w="1350" w:type="pct"/>
            <w:tcBorders>
              <w:top w:val="single" w:color="auto" w:sz="6" w:space="0"/>
            </w:tcBorders>
            <w:vAlign w:val="center"/>
          </w:tcPr>
          <w:p w14:paraId="1ED2C6E3">
            <w:pPr>
              <w:pStyle w:val="26"/>
              <w:keepNext/>
            </w:pPr>
            <w:r>
              <w:t>25~35</w:t>
            </w:r>
          </w:p>
        </w:tc>
        <w:tc>
          <w:tcPr>
            <w:tcW w:w="1350" w:type="pct"/>
            <w:tcBorders>
              <w:top w:val="single" w:color="auto" w:sz="6" w:space="0"/>
            </w:tcBorders>
            <w:vAlign w:val="center"/>
          </w:tcPr>
          <w:p w14:paraId="1724AB1D">
            <w:pPr>
              <w:pStyle w:val="26"/>
              <w:keepNext/>
            </w:pPr>
          </w:p>
        </w:tc>
        <w:tc>
          <w:tcPr>
            <w:tcW w:w="1350" w:type="pct"/>
            <w:tcBorders>
              <w:top w:val="single" w:color="auto" w:sz="6" w:space="0"/>
            </w:tcBorders>
            <w:vAlign w:val="center"/>
          </w:tcPr>
          <w:p w14:paraId="74C5374C">
            <w:pPr>
              <w:pStyle w:val="26"/>
              <w:keepNext/>
            </w:pPr>
          </w:p>
        </w:tc>
      </w:tr>
      <w:tr w14:paraId="69B9EE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7" w:hRule="atLeast"/>
          <w:jc w:val="center"/>
        </w:trPr>
        <w:tc>
          <w:tcPr>
            <w:tcW w:w="542" w:type="pct"/>
            <w:vAlign w:val="center"/>
          </w:tcPr>
          <w:p w14:paraId="60BD5F72">
            <w:pPr>
              <w:pStyle w:val="26"/>
              <w:keepNext/>
            </w:pPr>
            <w:r>
              <w:t>压力</w:t>
            </w:r>
          </w:p>
        </w:tc>
        <w:tc>
          <w:tcPr>
            <w:tcW w:w="408" w:type="pct"/>
            <w:vAlign w:val="center"/>
          </w:tcPr>
          <w:p w14:paraId="5C038BA7">
            <w:pPr>
              <w:pStyle w:val="26"/>
              <w:keepNext/>
            </w:pPr>
            <w:r>
              <w:t>MPa</w:t>
            </w:r>
          </w:p>
        </w:tc>
        <w:tc>
          <w:tcPr>
            <w:tcW w:w="1350" w:type="pct"/>
            <w:vAlign w:val="center"/>
          </w:tcPr>
          <w:p w14:paraId="0F116D72">
            <w:pPr>
              <w:pStyle w:val="26"/>
              <w:keepNext/>
            </w:pPr>
            <w:r>
              <w:t>5.4</w:t>
            </w:r>
          </w:p>
        </w:tc>
        <w:tc>
          <w:tcPr>
            <w:tcW w:w="1350" w:type="pct"/>
            <w:vAlign w:val="center"/>
          </w:tcPr>
          <w:p w14:paraId="2AA077D8">
            <w:pPr>
              <w:pStyle w:val="26"/>
              <w:keepNext/>
            </w:pPr>
          </w:p>
        </w:tc>
        <w:tc>
          <w:tcPr>
            <w:tcW w:w="1350" w:type="pct"/>
            <w:vAlign w:val="center"/>
          </w:tcPr>
          <w:p w14:paraId="6922739B">
            <w:pPr>
              <w:pStyle w:val="26"/>
              <w:keepNext/>
            </w:pPr>
          </w:p>
        </w:tc>
      </w:tr>
      <w:tr w14:paraId="1617B7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7" w:hRule="atLeast"/>
          <w:jc w:val="center"/>
        </w:trPr>
        <w:tc>
          <w:tcPr>
            <w:tcW w:w="542" w:type="pct"/>
            <w:tcBorders>
              <w:bottom w:val="single" w:color="auto" w:sz="12" w:space="0"/>
            </w:tcBorders>
            <w:vAlign w:val="center"/>
          </w:tcPr>
          <w:p w14:paraId="1D0D1077">
            <w:pPr>
              <w:pStyle w:val="26"/>
            </w:pPr>
            <w:r>
              <w:t>流量</w:t>
            </w:r>
          </w:p>
        </w:tc>
        <w:tc>
          <w:tcPr>
            <w:tcW w:w="408" w:type="pct"/>
            <w:tcBorders>
              <w:bottom w:val="single" w:color="auto" w:sz="12" w:space="0"/>
            </w:tcBorders>
            <w:vAlign w:val="center"/>
          </w:tcPr>
          <w:p w14:paraId="193D74F5">
            <w:pPr>
              <w:pStyle w:val="26"/>
            </w:pPr>
            <w:r>
              <w:t>m</w:t>
            </w:r>
            <w:r>
              <w:rPr>
                <w:vertAlign w:val="superscript"/>
              </w:rPr>
              <w:t>3</w:t>
            </w:r>
            <w:r>
              <w:t>/h</w:t>
            </w:r>
          </w:p>
        </w:tc>
        <w:tc>
          <w:tcPr>
            <w:tcW w:w="1350" w:type="pct"/>
            <w:tcBorders>
              <w:bottom w:val="single" w:color="auto" w:sz="12" w:space="0"/>
            </w:tcBorders>
            <w:vAlign w:val="center"/>
          </w:tcPr>
          <w:p w14:paraId="65BC98AB">
            <w:pPr>
              <w:pStyle w:val="26"/>
            </w:pPr>
            <w:r>
              <w:t>2000</w:t>
            </w:r>
          </w:p>
        </w:tc>
        <w:tc>
          <w:tcPr>
            <w:tcW w:w="1350" w:type="pct"/>
            <w:tcBorders>
              <w:bottom w:val="single" w:color="auto" w:sz="12" w:space="0"/>
            </w:tcBorders>
            <w:vAlign w:val="center"/>
          </w:tcPr>
          <w:p w14:paraId="0F39C4C5">
            <w:pPr>
              <w:pStyle w:val="26"/>
            </w:pPr>
            <w:r>
              <w:t>2650</w:t>
            </w:r>
          </w:p>
        </w:tc>
        <w:tc>
          <w:tcPr>
            <w:tcW w:w="1350" w:type="pct"/>
            <w:tcBorders>
              <w:bottom w:val="single" w:color="auto" w:sz="12" w:space="0"/>
            </w:tcBorders>
            <w:vAlign w:val="center"/>
          </w:tcPr>
          <w:p w14:paraId="363E7B94">
            <w:pPr>
              <w:pStyle w:val="26"/>
            </w:pPr>
            <w:r>
              <w:t>3850</w:t>
            </w:r>
          </w:p>
        </w:tc>
      </w:tr>
    </w:tbl>
    <w:p w14:paraId="26EA884D">
      <w:pPr>
        <w:pStyle w:val="23"/>
        <w:ind w:firstLine="480"/>
        <w:rPr>
          <w:rFonts w:cs="Times New Roman"/>
        </w:rPr>
      </w:pPr>
      <w:r>
        <w:rPr>
          <w:rFonts w:cs="Times New Roman"/>
        </w:rPr>
        <w:t>放空气体产生于酸脱工序CO</w:t>
      </w:r>
      <w:r>
        <w:rPr>
          <w:rFonts w:cs="Times New Roman"/>
          <w:vertAlign w:val="subscript"/>
        </w:rPr>
        <w:t>2</w:t>
      </w:r>
      <w:r>
        <w:rPr>
          <w:rFonts w:cs="Times New Roman"/>
        </w:rPr>
        <w:t>解吸塔，经原料气预热器复热后，大部分送至二氧化碳压缩机K3051升压后供煤气化装置及尿素装置使用，剩余部分经CO</w:t>
      </w:r>
      <w:r>
        <w:rPr>
          <w:rFonts w:cs="Times New Roman"/>
          <w:vertAlign w:val="subscript"/>
        </w:rPr>
        <w:t>2</w:t>
      </w:r>
      <w:r>
        <w:rPr>
          <w:rFonts w:cs="Times New Roman"/>
        </w:rPr>
        <w:t>解吸塔C15202压力调节阀放空至酸脱尾气放空总管。CO</w:t>
      </w:r>
      <w:r>
        <w:rPr>
          <w:rFonts w:cs="Times New Roman"/>
          <w:vertAlign w:val="subscript"/>
        </w:rPr>
        <w:t>2</w:t>
      </w:r>
      <w:r>
        <w:rPr>
          <w:rFonts w:cs="Times New Roman"/>
        </w:rPr>
        <w:t>放空气的成分和工艺参数见表。</w:t>
      </w:r>
    </w:p>
    <w:p w14:paraId="0E7BBC28">
      <w:pPr>
        <w:pStyle w:val="28"/>
        <w:rPr>
          <w:rFonts w:cs="Times New Roman"/>
        </w:rPr>
      </w:pPr>
      <w:r>
        <w:rPr>
          <w:rFonts w:cs="Times New Roman"/>
        </w:rPr>
        <w:t>表</w:t>
      </w:r>
      <w:r>
        <w:rPr>
          <w:rFonts w:cs="Times New Roman"/>
        </w:rPr>
        <w:fldChar w:fldCharType="begin"/>
      </w:r>
      <w:r>
        <w:rPr>
          <w:rFonts w:cs="Times New Roman"/>
        </w:rPr>
        <w:instrText xml:space="preserve"> SEQ 表 \* ARABIC </w:instrText>
      </w:r>
      <w:r>
        <w:rPr>
          <w:rFonts w:cs="Times New Roman"/>
        </w:rPr>
        <w:fldChar w:fldCharType="separate"/>
      </w:r>
      <w:r>
        <w:rPr>
          <w:rFonts w:cs="Times New Roman"/>
        </w:rPr>
        <w:t>5</w:t>
      </w:r>
      <w:r>
        <w:rPr>
          <w:rFonts w:cs="Times New Roman"/>
        </w:rPr>
        <w:fldChar w:fldCharType="end"/>
      </w:r>
      <w:r>
        <w:rPr>
          <w:rFonts w:cs="Times New Roman"/>
        </w:rPr>
        <w:t xml:space="preserve"> CO</w:t>
      </w:r>
      <w:r>
        <w:rPr>
          <w:rFonts w:cs="Times New Roman"/>
          <w:vertAlign w:val="subscript"/>
        </w:rPr>
        <w:t>2</w:t>
      </w:r>
      <w:r>
        <w:rPr>
          <w:rFonts w:cs="Times New Roman"/>
        </w:rPr>
        <w:t>放空气成分和工艺参数表</w:t>
      </w:r>
    </w:p>
    <w:tbl>
      <w:tblPr>
        <w:tblStyle w:val="17"/>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29"/>
        <w:gridCol w:w="1515"/>
        <w:gridCol w:w="2078"/>
      </w:tblGrid>
      <w:tr w14:paraId="3B168F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3" w:hRule="atLeast"/>
          <w:jc w:val="center"/>
        </w:trPr>
        <w:tc>
          <w:tcPr>
            <w:tcW w:w="2892" w:type="pct"/>
            <w:tcBorders>
              <w:top w:val="single" w:color="auto" w:sz="12" w:space="0"/>
              <w:bottom w:val="single" w:color="auto" w:sz="6" w:space="0"/>
            </w:tcBorders>
            <w:vAlign w:val="center"/>
          </w:tcPr>
          <w:p w14:paraId="3BEDF744">
            <w:pPr>
              <w:pStyle w:val="26"/>
            </w:pPr>
            <w:r>
              <w:t>项目</w:t>
            </w:r>
          </w:p>
        </w:tc>
        <w:tc>
          <w:tcPr>
            <w:tcW w:w="889" w:type="pct"/>
            <w:tcBorders>
              <w:top w:val="single" w:color="auto" w:sz="12" w:space="0"/>
              <w:bottom w:val="single" w:color="auto" w:sz="6" w:space="0"/>
            </w:tcBorders>
            <w:vAlign w:val="center"/>
          </w:tcPr>
          <w:p w14:paraId="3333B00A">
            <w:pPr>
              <w:pStyle w:val="26"/>
            </w:pPr>
            <w:r>
              <w:t>单位</w:t>
            </w:r>
          </w:p>
        </w:tc>
        <w:tc>
          <w:tcPr>
            <w:tcW w:w="1219" w:type="pct"/>
            <w:tcBorders>
              <w:top w:val="single" w:color="auto" w:sz="12" w:space="0"/>
              <w:bottom w:val="single" w:color="auto" w:sz="6" w:space="0"/>
            </w:tcBorders>
            <w:vAlign w:val="center"/>
          </w:tcPr>
          <w:p w14:paraId="60F53C48">
            <w:pPr>
              <w:pStyle w:val="26"/>
            </w:pPr>
            <w:r>
              <w:t>数值</w:t>
            </w:r>
          </w:p>
        </w:tc>
      </w:tr>
      <w:tr w14:paraId="2555D6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5" w:hRule="atLeast"/>
          <w:jc w:val="center"/>
        </w:trPr>
        <w:tc>
          <w:tcPr>
            <w:tcW w:w="2892" w:type="pct"/>
            <w:tcBorders>
              <w:top w:val="single" w:color="auto" w:sz="6" w:space="0"/>
            </w:tcBorders>
            <w:vAlign w:val="center"/>
          </w:tcPr>
          <w:p w14:paraId="6B87C51E">
            <w:pPr>
              <w:pStyle w:val="26"/>
            </w:pPr>
            <w:r>
              <w:rPr/>
              <w:sym w:font="Symbol" w:char="F06A"/>
            </w:r>
            <w:r>
              <w:t>(CO</w:t>
            </w:r>
            <w:r>
              <w:rPr>
                <w:vertAlign w:val="subscript"/>
              </w:rPr>
              <w:t>2</w:t>
            </w:r>
            <w:r>
              <w:t>)</w:t>
            </w:r>
          </w:p>
        </w:tc>
        <w:tc>
          <w:tcPr>
            <w:tcW w:w="889" w:type="pct"/>
            <w:tcBorders>
              <w:top w:val="single" w:color="auto" w:sz="6" w:space="0"/>
            </w:tcBorders>
            <w:vAlign w:val="center"/>
          </w:tcPr>
          <w:p w14:paraId="52A20F47">
            <w:pPr>
              <w:pStyle w:val="26"/>
            </w:pPr>
            <w:r>
              <w:t>%</w:t>
            </w:r>
          </w:p>
        </w:tc>
        <w:tc>
          <w:tcPr>
            <w:tcW w:w="1219" w:type="pct"/>
            <w:tcBorders>
              <w:top w:val="single" w:color="auto" w:sz="6" w:space="0"/>
            </w:tcBorders>
            <w:vAlign w:val="center"/>
          </w:tcPr>
          <w:p w14:paraId="2E30E88B">
            <w:pPr>
              <w:pStyle w:val="26"/>
            </w:pPr>
            <w:r>
              <w:t>97.0~98.8</w:t>
            </w:r>
          </w:p>
        </w:tc>
      </w:tr>
      <w:tr w14:paraId="365979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jc w:val="center"/>
        </w:trPr>
        <w:tc>
          <w:tcPr>
            <w:tcW w:w="2892" w:type="pct"/>
            <w:vAlign w:val="center"/>
          </w:tcPr>
          <w:p w14:paraId="691269E0">
            <w:pPr>
              <w:pStyle w:val="26"/>
            </w:pPr>
            <w:r>
              <w:rPr/>
              <w:sym w:font="Symbol" w:char="F06A"/>
            </w:r>
            <w:r>
              <w:t>(H</w:t>
            </w:r>
            <w:r>
              <w:rPr>
                <w:vertAlign w:val="subscript"/>
              </w:rPr>
              <w:t>2</w:t>
            </w:r>
            <w:r>
              <w:t>)</w:t>
            </w:r>
          </w:p>
        </w:tc>
        <w:tc>
          <w:tcPr>
            <w:tcW w:w="889" w:type="pct"/>
            <w:vAlign w:val="center"/>
          </w:tcPr>
          <w:p w14:paraId="0274A8DF">
            <w:pPr>
              <w:pStyle w:val="26"/>
            </w:pPr>
            <w:r>
              <w:t>%</w:t>
            </w:r>
          </w:p>
        </w:tc>
        <w:tc>
          <w:tcPr>
            <w:tcW w:w="1219" w:type="pct"/>
            <w:vAlign w:val="center"/>
          </w:tcPr>
          <w:p w14:paraId="507F151A">
            <w:pPr>
              <w:pStyle w:val="26"/>
            </w:pPr>
            <w:r>
              <w:t>0.14~0.16</w:t>
            </w:r>
          </w:p>
        </w:tc>
      </w:tr>
      <w:tr w14:paraId="0123EE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jc w:val="center"/>
        </w:trPr>
        <w:tc>
          <w:tcPr>
            <w:tcW w:w="2892" w:type="pct"/>
            <w:vAlign w:val="center"/>
          </w:tcPr>
          <w:p w14:paraId="21872E64">
            <w:pPr>
              <w:pStyle w:val="26"/>
            </w:pPr>
            <w:r>
              <w:rPr/>
              <w:sym w:font="Symbol" w:char="F06A"/>
            </w:r>
            <w:r>
              <w:t>(CO)</w:t>
            </w:r>
          </w:p>
        </w:tc>
        <w:tc>
          <w:tcPr>
            <w:tcW w:w="889" w:type="pct"/>
            <w:vAlign w:val="center"/>
          </w:tcPr>
          <w:p w14:paraId="5A0B6D4C">
            <w:pPr>
              <w:pStyle w:val="26"/>
            </w:pPr>
            <w:r>
              <w:t>%</w:t>
            </w:r>
          </w:p>
        </w:tc>
        <w:tc>
          <w:tcPr>
            <w:tcW w:w="1219" w:type="pct"/>
            <w:vAlign w:val="center"/>
          </w:tcPr>
          <w:p w14:paraId="036CD494">
            <w:pPr>
              <w:pStyle w:val="26"/>
            </w:pPr>
            <w:r>
              <w:t>0.6~0.7</w:t>
            </w:r>
          </w:p>
        </w:tc>
      </w:tr>
      <w:tr w14:paraId="5B8035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2892" w:type="pct"/>
            <w:vAlign w:val="center"/>
          </w:tcPr>
          <w:p w14:paraId="5A887CE6">
            <w:pPr>
              <w:pStyle w:val="26"/>
            </w:pPr>
            <w:r>
              <w:rPr/>
              <w:sym w:font="Symbol" w:char="F077"/>
            </w:r>
            <w:r>
              <w:t>(CH</w:t>
            </w:r>
            <w:r>
              <w:rPr>
                <w:vertAlign w:val="subscript"/>
              </w:rPr>
              <w:t>3</w:t>
            </w:r>
            <w:r>
              <w:t>OH)</w:t>
            </w:r>
          </w:p>
        </w:tc>
        <w:tc>
          <w:tcPr>
            <w:tcW w:w="889" w:type="pct"/>
            <w:vAlign w:val="center"/>
          </w:tcPr>
          <w:p w14:paraId="412C6EC7">
            <w:pPr>
              <w:pStyle w:val="26"/>
              <w:rPr>
                <w:rFonts w:eastAsiaTheme="minorEastAsia"/>
              </w:rPr>
            </w:pPr>
            <w:r>
              <w:rPr>
                <w:rFonts w:eastAsiaTheme="minorEastAsia"/>
              </w:rPr>
              <w:t>×10</w:t>
            </w:r>
            <w:r>
              <w:rPr>
                <w:rFonts w:eastAsiaTheme="minorEastAsia"/>
                <w:vertAlign w:val="superscript"/>
              </w:rPr>
              <w:t>-6</w:t>
            </w:r>
          </w:p>
        </w:tc>
        <w:tc>
          <w:tcPr>
            <w:tcW w:w="1219" w:type="pct"/>
            <w:vAlign w:val="center"/>
          </w:tcPr>
          <w:p w14:paraId="60A2AAD2">
            <w:pPr>
              <w:pStyle w:val="26"/>
            </w:pPr>
            <w:r>
              <w:t>300~500</w:t>
            </w:r>
          </w:p>
        </w:tc>
      </w:tr>
      <w:tr w14:paraId="666F57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7" w:hRule="atLeast"/>
          <w:jc w:val="center"/>
        </w:trPr>
        <w:tc>
          <w:tcPr>
            <w:tcW w:w="2892" w:type="pct"/>
            <w:vAlign w:val="center"/>
          </w:tcPr>
          <w:p w14:paraId="607EEEE2">
            <w:pPr>
              <w:pStyle w:val="26"/>
            </w:pPr>
            <w:r>
              <w:rPr/>
              <w:sym w:font="Symbol" w:char="F077"/>
            </w:r>
            <w:r>
              <w:t>(总烃(以甲烷为计))</w:t>
            </w:r>
          </w:p>
        </w:tc>
        <w:tc>
          <w:tcPr>
            <w:tcW w:w="889" w:type="pct"/>
            <w:vAlign w:val="center"/>
          </w:tcPr>
          <w:p w14:paraId="009F4DCA">
            <w:pPr>
              <w:pStyle w:val="26"/>
            </w:pPr>
            <w:r>
              <w:rPr>
                <w:rFonts w:eastAsiaTheme="minorEastAsia"/>
              </w:rPr>
              <w:t>×10</w:t>
            </w:r>
            <w:r>
              <w:rPr>
                <w:rFonts w:eastAsiaTheme="minorEastAsia"/>
                <w:vertAlign w:val="superscript"/>
              </w:rPr>
              <w:t>-6</w:t>
            </w:r>
          </w:p>
        </w:tc>
        <w:tc>
          <w:tcPr>
            <w:tcW w:w="1219" w:type="pct"/>
            <w:vAlign w:val="center"/>
          </w:tcPr>
          <w:p w14:paraId="7A77F142">
            <w:pPr>
              <w:pStyle w:val="26"/>
            </w:pPr>
            <w:r>
              <w:t>800~1000</w:t>
            </w:r>
          </w:p>
        </w:tc>
      </w:tr>
      <w:tr w14:paraId="4C4295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7" w:hRule="atLeast"/>
          <w:jc w:val="center"/>
        </w:trPr>
        <w:tc>
          <w:tcPr>
            <w:tcW w:w="2892" w:type="pct"/>
            <w:vAlign w:val="center"/>
          </w:tcPr>
          <w:p w14:paraId="58819B05">
            <w:pPr>
              <w:pStyle w:val="26"/>
            </w:pPr>
            <w:r>
              <w:rPr/>
              <w:sym w:font="Symbol" w:char="F077"/>
            </w:r>
            <w:r>
              <w:t>(CH</w:t>
            </w:r>
            <w:r>
              <w:rPr>
                <w:vertAlign w:val="subscript"/>
              </w:rPr>
              <w:t>4</w:t>
            </w:r>
            <w:r>
              <w:t>)</w:t>
            </w:r>
          </w:p>
        </w:tc>
        <w:tc>
          <w:tcPr>
            <w:tcW w:w="889" w:type="pct"/>
            <w:vAlign w:val="center"/>
          </w:tcPr>
          <w:p w14:paraId="7F24FF5B">
            <w:pPr>
              <w:pStyle w:val="26"/>
            </w:pPr>
            <w:r>
              <w:rPr>
                <w:rFonts w:eastAsiaTheme="minorEastAsia"/>
              </w:rPr>
              <w:t>×10</w:t>
            </w:r>
            <w:r>
              <w:rPr>
                <w:rFonts w:eastAsiaTheme="minorEastAsia"/>
                <w:vertAlign w:val="superscript"/>
              </w:rPr>
              <w:t>-6</w:t>
            </w:r>
          </w:p>
        </w:tc>
        <w:tc>
          <w:tcPr>
            <w:tcW w:w="1219" w:type="pct"/>
            <w:vAlign w:val="center"/>
          </w:tcPr>
          <w:p w14:paraId="49653F84">
            <w:pPr>
              <w:pStyle w:val="26"/>
            </w:pPr>
            <w:r>
              <w:t>150~180</w:t>
            </w:r>
          </w:p>
        </w:tc>
      </w:tr>
      <w:tr w14:paraId="06EE86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jc w:val="center"/>
        </w:trPr>
        <w:tc>
          <w:tcPr>
            <w:tcW w:w="2892" w:type="pct"/>
            <w:vAlign w:val="center"/>
          </w:tcPr>
          <w:p w14:paraId="3176D431">
            <w:pPr>
              <w:pStyle w:val="26"/>
            </w:pPr>
            <w:r>
              <w:rPr/>
              <w:sym w:font="Symbol" w:char="F06A"/>
            </w:r>
            <w:r>
              <w:t>(N</w:t>
            </w:r>
            <w:r>
              <w:rPr>
                <w:vertAlign w:val="subscript"/>
              </w:rPr>
              <w:t>2</w:t>
            </w:r>
            <w:r>
              <w:t>)</w:t>
            </w:r>
          </w:p>
        </w:tc>
        <w:tc>
          <w:tcPr>
            <w:tcW w:w="889" w:type="pct"/>
            <w:vAlign w:val="center"/>
          </w:tcPr>
          <w:p w14:paraId="36B72A8D">
            <w:pPr>
              <w:pStyle w:val="26"/>
            </w:pPr>
            <w:r>
              <w:t>%</w:t>
            </w:r>
          </w:p>
        </w:tc>
        <w:tc>
          <w:tcPr>
            <w:tcW w:w="1219" w:type="pct"/>
            <w:vAlign w:val="center"/>
          </w:tcPr>
          <w:p w14:paraId="2BE83964">
            <w:pPr>
              <w:pStyle w:val="26"/>
            </w:pPr>
            <w:r>
              <w:t>0.2~0.3</w:t>
            </w:r>
          </w:p>
        </w:tc>
      </w:tr>
      <w:tr w14:paraId="45816E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jc w:val="center"/>
        </w:trPr>
        <w:tc>
          <w:tcPr>
            <w:tcW w:w="2892" w:type="pct"/>
            <w:vAlign w:val="center"/>
          </w:tcPr>
          <w:p w14:paraId="07B709CC">
            <w:pPr>
              <w:pStyle w:val="26"/>
            </w:pPr>
            <w:r>
              <w:rPr/>
              <w:sym w:font="Symbol" w:char="F06A"/>
            </w:r>
            <w:r>
              <w:t>(Ar)</w:t>
            </w:r>
          </w:p>
        </w:tc>
        <w:tc>
          <w:tcPr>
            <w:tcW w:w="889" w:type="pct"/>
            <w:vAlign w:val="center"/>
          </w:tcPr>
          <w:p w14:paraId="13FF92FB">
            <w:pPr>
              <w:pStyle w:val="26"/>
            </w:pPr>
            <w:r>
              <w:t>%</w:t>
            </w:r>
          </w:p>
        </w:tc>
        <w:tc>
          <w:tcPr>
            <w:tcW w:w="1219" w:type="pct"/>
            <w:vAlign w:val="center"/>
          </w:tcPr>
          <w:p w14:paraId="4EB65FAE">
            <w:pPr>
              <w:pStyle w:val="26"/>
            </w:pPr>
            <w:r>
              <w:t>0.02~0.05</w:t>
            </w:r>
          </w:p>
        </w:tc>
      </w:tr>
      <w:tr w14:paraId="216382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jc w:val="center"/>
        </w:trPr>
        <w:tc>
          <w:tcPr>
            <w:tcW w:w="2892" w:type="pct"/>
            <w:vAlign w:val="center"/>
          </w:tcPr>
          <w:p w14:paraId="1175373E">
            <w:pPr>
              <w:pStyle w:val="26"/>
            </w:pPr>
            <w:r>
              <w:rPr/>
              <w:sym w:font="Symbol" w:char="F06A"/>
            </w:r>
            <w:r>
              <w:t>(H</w:t>
            </w:r>
            <w:r>
              <w:rPr>
                <w:vertAlign w:val="subscript"/>
              </w:rPr>
              <w:t>2</w:t>
            </w:r>
            <w:r>
              <w:t>O)</w:t>
            </w:r>
          </w:p>
        </w:tc>
        <w:tc>
          <w:tcPr>
            <w:tcW w:w="889" w:type="pct"/>
            <w:vAlign w:val="center"/>
          </w:tcPr>
          <w:p w14:paraId="58D5067C">
            <w:pPr>
              <w:pStyle w:val="26"/>
            </w:pPr>
            <w:r>
              <w:t>%</w:t>
            </w:r>
          </w:p>
        </w:tc>
        <w:tc>
          <w:tcPr>
            <w:tcW w:w="1219" w:type="pct"/>
            <w:vAlign w:val="center"/>
          </w:tcPr>
          <w:p w14:paraId="7F66AF64">
            <w:pPr>
              <w:pStyle w:val="26"/>
            </w:pPr>
            <w:r>
              <w:t>0.04</w:t>
            </w:r>
          </w:p>
        </w:tc>
      </w:tr>
      <w:tr w14:paraId="4DD2D0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3" w:hRule="atLeast"/>
          <w:jc w:val="center"/>
        </w:trPr>
        <w:tc>
          <w:tcPr>
            <w:tcW w:w="2892" w:type="pct"/>
            <w:vAlign w:val="center"/>
          </w:tcPr>
          <w:p w14:paraId="01867D2D">
            <w:pPr>
              <w:pStyle w:val="26"/>
            </w:pPr>
            <w:r>
              <w:rPr/>
              <w:sym w:font="Symbol" w:char="F072"/>
            </w:r>
            <w:r>
              <w:t>(总硫)</w:t>
            </w:r>
          </w:p>
        </w:tc>
        <w:tc>
          <w:tcPr>
            <w:tcW w:w="889" w:type="pct"/>
            <w:vAlign w:val="center"/>
          </w:tcPr>
          <w:p w14:paraId="1F7CE5FD">
            <w:pPr>
              <w:pStyle w:val="26"/>
            </w:pPr>
            <w:r>
              <w:t>mg/m</w:t>
            </w:r>
            <w:r>
              <w:rPr>
                <w:vertAlign w:val="superscript"/>
              </w:rPr>
              <w:t>3</w:t>
            </w:r>
          </w:p>
        </w:tc>
        <w:tc>
          <w:tcPr>
            <w:tcW w:w="1219" w:type="pct"/>
            <w:vAlign w:val="center"/>
          </w:tcPr>
          <w:p w14:paraId="158FEF0F">
            <w:pPr>
              <w:pStyle w:val="26"/>
            </w:pPr>
            <w:r>
              <w:t>10~14</w:t>
            </w:r>
          </w:p>
        </w:tc>
      </w:tr>
      <w:tr w14:paraId="581705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jc w:val="center"/>
        </w:trPr>
        <w:tc>
          <w:tcPr>
            <w:tcW w:w="2892" w:type="pct"/>
            <w:vAlign w:val="center"/>
          </w:tcPr>
          <w:p w14:paraId="2B9F4415">
            <w:pPr>
              <w:pStyle w:val="26"/>
            </w:pPr>
            <w:r>
              <w:rPr/>
              <w:sym w:font="Symbol" w:char="F072"/>
            </w:r>
            <w:r>
              <w:t>(H</w:t>
            </w:r>
            <w:r>
              <w:rPr>
                <w:vertAlign w:val="subscript"/>
              </w:rPr>
              <w:t>2</w:t>
            </w:r>
            <w:r>
              <w:t>S)</w:t>
            </w:r>
          </w:p>
        </w:tc>
        <w:tc>
          <w:tcPr>
            <w:tcW w:w="889" w:type="pct"/>
            <w:vAlign w:val="center"/>
          </w:tcPr>
          <w:p w14:paraId="1803B232">
            <w:pPr>
              <w:pStyle w:val="26"/>
            </w:pPr>
            <w:r>
              <w:t>mg/m</w:t>
            </w:r>
            <w:r>
              <w:rPr>
                <w:vertAlign w:val="superscript"/>
              </w:rPr>
              <w:t>3</w:t>
            </w:r>
          </w:p>
        </w:tc>
        <w:tc>
          <w:tcPr>
            <w:tcW w:w="1219" w:type="pct"/>
            <w:vAlign w:val="center"/>
          </w:tcPr>
          <w:p w14:paraId="60D7F676">
            <w:pPr>
              <w:pStyle w:val="26"/>
            </w:pPr>
            <w:r>
              <w:t>6~8</w:t>
            </w:r>
          </w:p>
        </w:tc>
      </w:tr>
      <w:tr w14:paraId="36F84C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jc w:val="center"/>
        </w:trPr>
        <w:tc>
          <w:tcPr>
            <w:tcW w:w="2892" w:type="pct"/>
            <w:vAlign w:val="center"/>
          </w:tcPr>
          <w:p w14:paraId="064C2980">
            <w:pPr>
              <w:pStyle w:val="26"/>
            </w:pPr>
            <w:r>
              <w:rPr/>
              <w:sym w:font="Symbol" w:char="F072"/>
            </w:r>
            <w:r>
              <w:t>(COS)</w:t>
            </w:r>
          </w:p>
        </w:tc>
        <w:tc>
          <w:tcPr>
            <w:tcW w:w="889" w:type="pct"/>
            <w:vAlign w:val="center"/>
          </w:tcPr>
          <w:p w14:paraId="32E0CE65">
            <w:pPr>
              <w:pStyle w:val="26"/>
            </w:pPr>
            <w:r>
              <w:t>mg/m</w:t>
            </w:r>
            <w:r>
              <w:rPr>
                <w:vertAlign w:val="superscript"/>
              </w:rPr>
              <w:t>3</w:t>
            </w:r>
          </w:p>
        </w:tc>
        <w:tc>
          <w:tcPr>
            <w:tcW w:w="1219" w:type="pct"/>
            <w:vAlign w:val="center"/>
          </w:tcPr>
          <w:p w14:paraId="755AC9B0">
            <w:pPr>
              <w:pStyle w:val="26"/>
            </w:pPr>
            <w:r>
              <w:t>0.5~1.0</w:t>
            </w:r>
          </w:p>
        </w:tc>
      </w:tr>
      <w:tr w14:paraId="4E6738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2" w:hRule="atLeast"/>
          <w:jc w:val="center"/>
        </w:trPr>
        <w:tc>
          <w:tcPr>
            <w:tcW w:w="2892" w:type="pct"/>
            <w:vAlign w:val="center"/>
          </w:tcPr>
          <w:p w14:paraId="6E95728E">
            <w:pPr>
              <w:pStyle w:val="26"/>
            </w:pPr>
            <w:r>
              <w:t>其它形态硫</w:t>
            </w:r>
          </w:p>
          <w:p w14:paraId="7658A054">
            <w:pPr>
              <w:pStyle w:val="26"/>
            </w:pPr>
            <w:r>
              <w:t>（主要是硫醇、硫醚等）</w:t>
            </w:r>
          </w:p>
        </w:tc>
        <w:tc>
          <w:tcPr>
            <w:tcW w:w="889" w:type="pct"/>
            <w:vAlign w:val="center"/>
          </w:tcPr>
          <w:p w14:paraId="410BA256">
            <w:pPr>
              <w:pStyle w:val="26"/>
            </w:pPr>
            <w:r>
              <w:t>mg/m</w:t>
            </w:r>
            <w:r>
              <w:rPr>
                <w:vertAlign w:val="superscript"/>
              </w:rPr>
              <w:t>3</w:t>
            </w:r>
          </w:p>
        </w:tc>
        <w:tc>
          <w:tcPr>
            <w:tcW w:w="1219" w:type="pct"/>
            <w:vAlign w:val="center"/>
          </w:tcPr>
          <w:p w14:paraId="765FA5C4">
            <w:pPr>
              <w:pStyle w:val="26"/>
            </w:pPr>
            <w:r>
              <w:t>3.5~4.5</w:t>
            </w:r>
          </w:p>
        </w:tc>
      </w:tr>
      <w:tr w14:paraId="20F819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3" w:hRule="atLeast"/>
          <w:jc w:val="center"/>
        </w:trPr>
        <w:tc>
          <w:tcPr>
            <w:tcW w:w="2892" w:type="pct"/>
            <w:vAlign w:val="center"/>
          </w:tcPr>
          <w:p w14:paraId="6900C014">
            <w:pPr>
              <w:pStyle w:val="26"/>
            </w:pPr>
            <w:r>
              <w:t>温度</w:t>
            </w:r>
          </w:p>
        </w:tc>
        <w:tc>
          <w:tcPr>
            <w:tcW w:w="889" w:type="pct"/>
            <w:vAlign w:val="center"/>
          </w:tcPr>
          <w:p w14:paraId="5CD5BE7E">
            <w:pPr>
              <w:pStyle w:val="26"/>
            </w:pPr>
            <w:r>
              <w:t>℃</w:t>
            </w:r>
          </w:p>
        </w:tc>
        <w:tc>
          <w:tcPr>
            <w:tcW w:w="1219" w:type="pct"/>
            <w:vAlign w:val="center"/>
          </w:tcPr>
          <w:p w14:paraId="0EF9D1F3">
            <w:pPr>
              <w:pStyle w:val="26"/>
            </w:pPr>
            <w:r>
              <w:t>20~30</w:t>
            </w:r>
          </w:p>
        </w:tc>
      </w:tr>
      <w:tr w14:paraId="418E79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3" w:hRule="atLeast"/>
          <w:jc w:val="center"/>
        </w:trPr>
        <w:tc>
          <w:tcPr>
            <w:tcW w:w="2892" w:type="pct"/>
            <w:vAlign w:val="center"/>
          </w:tcPr>
          <w:p w14:paraId="68F7A64E">
            <w:pPr>
              <w:pStyle w:val="26"/>
            </w:pPr>
            <w:r>
              <w:t>压力</w:t>
            </w:r>
          </w:p>
        </w:tc>
        <w:tc>
          <w:tcPr>
            <w:tcW w:w="889" w:type="pct"/>
            <w:vAlign w:val="center"/>
          </w:tcPr>
          <w:p w14:paraId="7FB3F7DE">
            <w:pPr>
              <w:pStyle w:val="26"/>
            </w:pPr>
            <w:r>
              <w:t>MPa</w:t>
            </w:r>
          </w:p>
        </w:tc>
        <w:tc>
          <w:tcPr>
            <w:tcW w:w="1219" w:type="pct"/>
            <w:vAlign w:val="center"/>
          </w:tcPr>
          <w:p w14:paraId="3638F151">
            <w:pPr>
              <w:pStyle w:val="26"/>
            </w:pPr>
            <w:r>
              <w:t>0.13</w:t>
            </w:r>
          </w:p>
        </w:tc>
      </w:tr>
      <w:tr w14:paraId="55530D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3" w:hRule="atLeast"/>
          <w:jc w:val="center"/>
        </w:trPr>
        <w:tc>
          <w:tcPr>
            <w:tcW w:w="2892" w:type="pct"/>
            <w:tcBorders>
              <w:bottom w:val="single" w:color="auto" w:sz="12" w:space="0"/>
            </w:tcBorders>
            <w:vAlign w:val="center"/>
          </w:tcPr>
          <w:p w14:paraId="11C60220">
            <w:pPr>
              <w:pStyle w:val="26"/>
            </w:pPr>
            <w:r>
              <w:t>流量</w:t>
            </w:r>
          </w:p>
        </w:tc>
        <w:tc>
          <w:tcPr>
            <w:tcW w:w="889" w:type="pct"/>
            <w:tcBorders>
              <w:bottom w:val="single" w:color="auto" w:sz="12" w:space="0"/>
            </w:tcBorders>
            <w:vAlign w:val="center"/>
          </w:tcPr>
          <w:p w14:paraId="744C2D69">
            <w:pPr>
              <w:pStyle w:val="26"/>
            </w:pPr>
            <w:r>
              <w:t>mg/h</w:t>
            </w:r>
          </w:p>
        </w:tc>
        <w:tc>
          <w:tcPr>
            <w:tcW w:w="1219" w:type="pct"/>
            <w:tcBorders>
              <w:bottom w:val="single" w:color="auto" w:sz="12" w:space="0"/>
            </w:tcBorders>
            <w:vAlign w:val="center"/>
          </w:tcPr>
          <w:p w14:paraId="2977004B">
            <w:pPr>
              <w:pStyle w:val="26"/>
            </w:pPr>
            <w:r>
              <w:t>700~9000</w:t>
            </w:r>
          </w:p>
        </w:tc>
      </w:tr>
    </w:tbl>
    <w:p w14:paraId="6E398937">
      <w:pPr>
        <w:pStyle w:val="23"/>
        <w:ind w:firstLine="480"/>
        <w:rPr>
          <w:rFonts w:cs="Times New Roman"/>
        </w:rPr>
      </w:pPr>
      <w:r>
        <w:rPr>
          <w:rFonts w:cs="Times New Roman"/>
        </w:rPr>
        <w:t>酸脱尾气产生于酸脱工序尾气水洗塔C15207出口尾气(包括二氧化碳解吸塔和浓缩塔放空气)、二氧化碳压缩机出口放空气、二氧化碳精脱硫工序放空气、液态二氧化碳装置放空气，不同工况下的流量及组分波动较大。酸脱尾气的主要成分和工艺参数见表：</w:t>
      </w:r>
    </w:p>
    <w:p w14:paraId="3051F925">
      <w:pPr>
        <w:pStyle w:val="28"/>
        <w:rPr>
          <w:rFonts w:cs="Times New Roman"/>
        </w:rPr>
      </w:pPr>
      <w:r>
        <w:rPr>
          <w:rFonts w:cs="Times New Roman"/>
        </w:rPr>
        <w:t>表</w:t>
      </w:r>
      <w:r>
        <w:rPr>
          <w:rFonts w:cs="Times New Roman"/>
        </w:rPr>
        <w:fldChar w:fldCharType="begin"/>
      </w:r>
      <w:r>
        <w:rPr>
          <w:rFonts w:cs="Times New Roman"/>
        </w:rPr>
        <w:instrText xml:space="preserve"> SEQ 表 \* ARABIC </w:instrText>
      </w:r>
      <w:r>
        <w:rPr>
          <w:rFonts w:cs="Times New Roman"/>
        </w:rPr>
        <w:fldChar w:fldCharType="separate"/>
      </w:r>
      <w:r>
        <w:rPr>
          <w:rFonts w:cs="Times New Roman"/>
        </w:rPr>
        <w:t>6</w:t>
      </w:r>
      <w:r>
        <w:rPr>
          <w:rFonts w:cs="Times New Roman"/>
        </w:rPr>
        <w:fldChar w:fldCharType="end"/>
      </w:r>
      <w:r>
        <w:rPr>
          <w:rFonts w:cs="Times New Roman"/>
        </w:rPr>
        <w:t xml:space="preserve"> 酸脱尾气成分和工艺参数表</w:t>
      </w:r>
    </w:p>
    <w:tbl>
      <w:tblPr>
        <w:tblStyle w:val="17"/>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458"/>
        <w:gridCol w:w="1740"/>
        <w:gridCol w:w="1740"/>
        <w:gridCol w:w="1584"/>
      </w:tblGrid>
      <w:tr w14:paraId="0DAB3D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2029" w:type="pct"/>
            <w:tcBorders>
              <w:top w:val="single" w:color="auto" w:sz="12" w:space="0"/>
              <w:bottom w:val="single" w:color="auto" w:sz="6" w:space="0"/>
            </w:tcBorders>
            <w:vAlign w:val="center"/>
          </w:tcPr>
          <w:p w14:paraId="53CFC526">
            <w:pPr>
              <w:pStyle w:val="26"/>
            </w:pPr>
            <w:r>
              <w:t>取样时间</w:t>
            </w:r>
          </w:p>
        </w:tc>
        <w:tc>
          <w:tcPr>
            <w:tcW w:w="1021" w:type="pct"/>
            <w:tcBorders>
              <w:top w:val="single" w:color="auto" w:sz="12" w:space="0"/>
              <w:bottom w:val="single" w:color="auto" w:sz="6" w:space="0"/>
            </w:tcBorders>
            <w:vAlign w:val="center"/>
          </w:tcPr>
          <w:p w14:paraId="64CB324C">
            <w:pPr>
              <w:pStyle w:val="26"/>
            </w:pPr>
            <w:r>
              <w:t>2020/10/15</w:t>
            </w:r>
          </w:p>
        </w:tc>
        <w:tc>
          <w:tcPr>
            <w:tcW w:w="1021" w:type="pct"/>
            <w:tcBorders>
              <w:top w:val="single" w:color="auto" w:sz="12" w:space="0"/>
              <w:bottom w:val="single" w:color="auto" w:sz="6" w:space="0"/>
            </w:tcBorders>
            <w:vAlign w:val="center"/>
          </w:tcPr>
          <w:p w14:paraId="6255723C">
            <w:pPr>
              <w:pStyle w:val="26"/>
            </w:pPr>
            <w:r>
              <w:t>2020/10/29</w:t>
            </w:r>
          </w:p>
        </w:tc>
        <w:tc>
          <w:tcPr>
            <w:tcW w:w="929" w:type="pct"/>
            <w:tcBorders>
              <w:top w:val="single" w:color="auto" w:sz="12" w:space="0"/>
              <w:bottom w:val="single" w:color="auto" w:sz="6" w:space="0"/>
            </w:tcBorders>
            <w:vAlign w:val="center"/>
          </w:tcPr>
          <w:p w14:paraId="030C65D5">
            <w:pPr>
              <w:pStyle w:val="26"/>
            </w:pPr>
            <w:r>
              <w:t>2022/1/18</w:t>
            </w:r>
          </w:p>
        </w:tc>
      </w:tr>
      <w:tr w14:paraId="74434D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2029" w:type="pct"/>
            <w:tcBorders>
              <w:top w:val="single" w:color="auto" w:sz="6" w:space="0"/>
            </w:tcBorders>
            <w:vAlign w:val="center"/>
          </w:tcPr>
          <w:p w14:paraId="7D60360B">
            <w:pPr>
              <w:pStyle w:val="26"/>
            </w:pPr>
            <w:r>
              <w:rPr/>
              <w:sym w:font="Symbol" w:char="F06A"/>
            </w:r>
            <w:r>
              <w:t>(CO</w:t>
            </w:r>
            <w:r>
              <w:rPr>
                <w:vertAlign w:val="subscript"/>
              </w:rPr>
              <w:t>2</w:t>
            </w:r>
            <w:r>
              <w:t>)/%</w:t>
            </w:r>
          </w:p>
        </w:tc>
        <w:tc>
          <w:tcPr>
            <w:tcW w:w="1021" w:type="pct"/>
            <w:tcBorders>
              <w:top w:val="single" w:color="auto" w:sz="6" w:space="0"/>
            </w:tcBorders>
            <w:vAlign w:val="center"/>
          </w:tcPr>
          <w:p w14:paraId="6F0644B8">
            <w:pPr>
              <w:pStyle w:val="26"/>
            </w:pPr>
            <w:r>
              <w:t>80.7</w:t>
            </w:r>
          </w:p>
        </w:tc>
        <w:tc>
          <w:tcPr>
            <w:tcW w:w="1021" w:type="pct"/>
            <w:tcBorders>
              <w:top w:val="single" w:color="auto" w:sz="6" w:space="0"/>
            </w:tcBorders>
            <w:vAlign w:val="center"/>
          </w:tcPr>
          <w:p w14:paraId="5E874971">
            <w:pPr>
              <w:pStyle w:val="26"/>
            </w:pPr>
            <w:r>
              <w:t>68.1</w:t>
            </w:r>
          </w:p>
        </w:tc>
        <w:tc>
          <w:tcPr>
            <w:tcW w:w="929" w:type="pct"/>
            <w:tcBorders>
              <w:top w:val="single" w:color="auto" w:sz="6" w:space="0"/>
            </w:tcBorders>
            <w:vAlign w:val="center"/>
          </w:tcPr>
          <w:p w14:paraId="071964F9">
            <w:pPr>
              <w:pStyle w:val="26"/>
            </w:pPr>
            <w:r>
              <w:t>73.1</w:t>
            </w:r>
          </w:p>
        </w:tc>
      </w:tr>
      <w:tr w14:paraId="2C4C63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3" w:hRule="atLeast"/>
          <w:jc w:val="center"/>
        </w:trPr>
        <w:tc>
          <w:tcPr>
            <w:tcW w:w="2029" w:type="pct"/>
            <w:vAlign w:val="center"/>
          </w:tcPr>
          <w:p w14:paraId="55076F36">
            <w:pPr>
              <w:pStyle w:val="26"/>
            </w:pPr>
            <w:r>
              <w:rPr/>
              <w:sym w:font="Symbol" w:char="F06A"/>
            </w:r>
            <w:r>
              <w:t>(N</w:t>
            </w:r>
            <w:r>
              <w:rPr>
                <w:vertAlign w:val="subscript"/>
              </w:rPr>
              <w:t>2</w:t>
            </w:r>
            <w:r>
              <w:t>)/%</w:t>
            </w:r>
          </w:p>
        </w:tc>
        <w:tc>
          <w:tcPr>
            <w:tcW w:w="1021" w:type="pct"/>
            <w:vAlign w:val="center"/>
          </w:tcPr>
          <w:p w14:paraId="19425F95">
            <w:pPr>
              <w:pStyle w:val="26"/>
            </w:pPr>
            <w:r>
              <w:t>17.5</w:t>
            </w:r>
          </w:p>
        </w:tc>
        <w:tc>
          <w:tcPr>
            <w:tcW w:w="1021" w:type="pct"/>
            <w:vAlign w:val="center"/>
          </w:tcPr>
          <w:p w14:paraId="22599F5D">
            <w:pPr>
              <w:pStyle w:val="26"/>
            </w:pPr>
            <w:r>
              <w:t>29.7</w:t>
            </w:r>
          </w:p>
        </w:tc>
        <w:tc>
          <w:tcPr>
            <w:tcW w:w="929" w:type="pct"/>
            <w:vAlign w:val="center"/>
          </w:tcPr>
          <w:p w14:paraId="63436A28">
            <w:pPr>
              <w:pStyle w:val="26"/>
            </w:pPr>
            <w:r>
              <w:t>25.9</w:t>
            </w:r>
          </w:p>
        </w:tc>
      </w:tr>
      <w:tr w14:paraId="25847C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3" w:hRule="atLeast"/>
          <w:jc w:val="center"/>
        </w:trPr>
        <w:tc>
          <w:tcPr>
            <w:tcW w:w="2029" w:type="pct"/>
            <w:vAlign w:val="center"/>
          </w:tcPr>
          <w:p w14:paraId="0989D0CC">
            <w:pPr>
              <w:pStyle w:val="26"/>
            </w:pPr>
            <w:r>
              <w:rPr/>
              <w:sym w:font="Symbol" w:char="F06A"/>
            </w:r>
            <w:r>
              <w:t>(H</w:t>
            </w:r>
            <w:r>
              <w:rPr>
                <w:vertAlign w:val="subscript"/>
              </w:rPr>
              <w:t>2</w:t>
            </w:r>
            <w:r>
              <w:t>)/%</w:t>
            </w:r>
          </w:p>
        </w:tc>
        <w:tc>
          <w:tcPr>
            <w:tcW w:w="1021" w:type="pct"/>
            <w:vAlign w:val="center"/>
          </w:tcPr>
          <w:p w14:paraId="071BDD75">
            <w:pPr>
              <w:pStyle w:val="26"/>
            </w:pPr>
            <w:r>
              <w:t>0.07</w:t>
            </w:r>
          </w:p>
        </w:tc>
        <w:tc>
          <w:tcPr>
            <w:tcW w:w="1021" w:type="pct"/>
            <w:vAlign w:val="center"/>
          </w:tcPr>
          <w:p w14:paraId="530B7F95">
            <w:pPr>
              <w:pStyle w:val="26"/>
            </w:pPr>
            <w:r>
              <w:t>0.33</w:t>
            </w:r>
          </w:p>
        </w:tc>
        <w:tc>
          <w:tcPr>
            <w:tcW w:w="929" w:type="pct"/>
            <w:vAlign w:val="center"/>
          </w:tcPr>
          <w:p w14:paraId="7B2A6C2A">
            <w:pPr>
              <w:pStyle w:val="26"/>
            </w:pPr>
            <w:r>
              <w:t>0.11</w:t>
            </w:r>
          </w:p>
        </w:tc>
      </w:tr>
      <w:tr w14:paraId="52A3BF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2029" w:type="pct"/>
            <w:vAlign w:val="center"/>
          </w:tcPr>
          <w:p w14:paraId="66B55DFA">
            <w:pPr>
              <w:pStyle w:val="26"/>
            </w:pPr>
            <w:r>
              <w:rPr/>
              <w:sym w:font="Symbol" w:char="F06A"/>
            </w:r>
            <w:r>
              <w:t>(CO)/%</w:t>
            </w:r>
          </w:p>
        </w:tc>
        <w:tc>
          <w:tcPr>
            <w:tcW w:w="1021" w:type="pct"/>
            <w:vAlign w:val="center"/>
          </w:tcPr>
          <w:p w14:paraId="56E329EB">
            <w:pPr>
              <w:pStyle w:val="26"/>
            </w:pPr>
            <w:r>
              <w:t>0.37</w:t>
            </w:r>
          </w:p>
        </w:tc>
        <w:tc>
          <w:tcPr>
            <w:tcW w:w="1021" w:type="pct"/>
            <w:vAlign w:val="center"/>
          </w:tcPr>
          <w:p w14:paraId="63CBFE00">
            <w:pPr>
              <w:pStyle w:val="26"/>
            </w:pPr>
            <w:r>
              <w:t>0.34</w:t>
            </w:r>
          </w:p>
        </w:tc>
        <w:tc>
          <w:tcPr>
            <w:tcW w:w="929" w:type="pct"/>
            <w:vAlign w:val="center"/>
          </w:tcPr>
          <w:p w14:paraId="23DC39D7">
            <w:pPr>
              <w:pStyle w:val="26"/>
            </w:pPr>
            <w:r>
              <w:t>0.37</w:t>
            </w:r>
          </w:p>
        </w:tc>
      </w:tr>
      <w:tr w14:paraId="284AB3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3" w:hRule="atLeast"/>
          <w:jc w:val="center"/>
        </w:trPr>
        <w:tc>
          <w:tcPr>
            <w:tcW w:w="2029" w:type="pct"/>
            <w:vAlign w:val="center"/>
          </w:tcPr>
          <w:p w14:paraId="6F05CFBD">
            <w:pPr>
              <w:pStyle w:val="26"/>
            </w:pPr>
            <w:r>
              <w:rPr/>
              <w:sym w:font="Symbol" w:char="F072"/>
            </w:r>
            <w:r>
              <w:t>(CH</w:t>
            </w:r>
            <w:r>
              <w:rPr>
                <w:vertAlign w:val="subscript"/>
              </w:rPr>
              <w:t>3</w:t>
            </w:r>
            <w:r>
              <w:t>OH)/(mg/m</w:t>
            </w:r>
            <w:r>
              <w:rPr>
                <w:vertAlign w:val="superscript"/>
              </w:rPr>
              <w:t>3</w:t>
            </w:r>
            <w:r>
              <w:t>)</w:t>
            </w:r>
          </w:p>
        </w:tc>
        <w:tc>
          <w:tcPr>
            <w:tcW w:w="1021" w:type="pct"/>
            <w:vAlign w:val="center"/>
          </w:tcPr>
          <w:p w14:paraId="4CFF8929">
            <w:pPr>
              <w:pStyle w:val="26"/>
            </w:pPr>
            <w:r>
              <w:t>186</w:t>
            </w:r>
          </w:p>
        </w:tc>
        <w:tc>
          <w:tcPr>
            <w:tcW w:w="1021" w:type="pct"/>
            <w:vAlign w:val="center"/>
          </w:tcPr>
          <w:p w14:paraId="023DBB58">
            <w:pPr>
              <w:pStyle w:val="26"/>
            </w:pPr>
            <w:r>
              <w:t>160</w:t>
            </w:r>
          </w:p>
        </w:tc>
        <w:tc>
          <w:tcPr>
            <w:tcW w:w="929" w:type="pct"/>
            <w:vAlign w:val="center"/>
          </w:tcPr>
          <w:p w14:paraId="1548E375">
            <w:pPr>
              <w:pStyle w:val="26"/>
            </w:pPr>
            <w:r>
              <w:t>204</w:t>
            </w:r>
          </w:p>
        </w:tc>
      </w:tr>
      <w:tr w14:paraId="2E6EDE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2029" w:type="pct"/>
            <w:vAlign w:val="center"/>
          </w:tcPr>
          <w:p w14:paraId="54DDEE90">
            <w:pPr>
              <w:pStyle w:val="26"/>
            </w:pPr>
            <w:r>
              <w:rPr/>
              <w:sym w:font="Symbol" w:char="F077"/>
            </w:r>
            <w:r>
              <w:t>(甲烷)/10-6</w:t>
            </w:r>
          </w:p>
        </w:tc>
        <w:tc>
          <w:tcPr>
            <w:tcW w:w="1021" w:type="pct"/>
            <w:vAlign w:val="center"/>
          </w:tcPr>
          <w:p w14:paraId="6115FE26">
            <w:pPr>
              <w:pStyle w:val="26"/>
            </w:pPr>
            <w:r>
              <w:t>109</w:t>
            </w:r>
          </w:p>
        </w:tc>
        <w:tc>
          <w:tcPr>
            <w:tcW w:w="1021" w:type="pct"/>
            <w:vAlign w:val="center"/>
          </w:tcPr>
          <w:p w14:paraId="23C3F0F7">
            <w:pPr>
              <w:pStyle w:val="26"/>
            </w:pPr>
            <w:r>
              <w:t>137</w:t>
            </w:r>
          </w:p>
        </w:tc>
        <w:tc>
          <w:tcPr>
            <w:tcW w:w="929" w:type="pct"/>
            <w:vAlign w:val="center"/>
          </w:tcPr>
          <w:p w14:paraId="2F00028E">
            <w:pPr>
              <w:pStyle w:val="26"/>
            </w:pPr>
            <w:r>
              <w:t>86</w:t>
            </w:r>
          </w:p>
        </w:tc>
      </w:tr>
      <w:tr w14:paraId="7413EE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2029" w:type="pct"/>
            <w:vAlign w:val="center"/>
          </w:tcPr>
          <w:p w14:paraId="6E633094">
            <w:pPr>
              <w:pStyle w:val="26"/>
            </w:pPr>
            <w:r>
              <w:rPr/>
              <w:sym w:font="Symbol" w:char="F072"/>
            </w:r>
            <w:r>
              <w:t>(非甲烷总烃)/(mg/m</w:t>
            </w:r>
            <w:r>
              <w:rPr>
                <w:vertAlign w:val="superscript"/>
              </w:rPr>
              <w:t>3</w:t>
            </w:r>
            <w:r>
              <w:t>)</w:t>
            </w:r>
          </w:p>
        </w:tc>
        <w:tc>
          <w:tcPr>
            <w:tcW w:w="1021" w:type="pct"/>
            <w:vAlign w:val="center"/>
          </w:tcPr>
          <w:p w14:paraId="6E4B81A4">
            <w:pPr>
              <w:pStyle w:val="26"/>
            </w:pPr>
            <w:r>
              <w:t>428</w:t>
            </w:r>
          </w:p>
        </w:tc>
        <w:tc>
          <w:tcPr>
            <w:tcW w:w="1021" w:type="pct"/>
            <w:vAlign w:val="center"/>
          </w:tcPr>
          <w:p w14:paraId="61B975B9">
            <w:pPr>
              <w:pStyle w:val="26"/>
            </w:pPr>
            <w:r>
              <w:t>339</w:t>
            </w:r>
          </w:p>
        </w:tc>
        <w:tc>
          <w:tcPr>
            <w:tcW w:w="929" w:type="pct"/>
            <w:vAlign w:val="center"/>
          </w:tcPr>
          <w:p w14:paraId="22E631DF">
            <w:pPr>
              <w:pStyle w:val="26"/>
            </w:pPr>
            <w:r>
              <w:t>453</w:t>
            </w:r>
          </w:p>
        </w:tc>
      </w:tr>
      <w:tr w14:paraId="5C658A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2029" w:type="pct"/>
            <w:vAlign w:val="center"/>
          </w:tcPr>
          <w:p w14:paraId="3BB3C6C8">
            <w:pPr>
              <w:pStyle w:val="26"/>
            </w:pPr>
            <w:r>
              <w:rPr/>
              <w:sym w:font="Symbol" w:char="F06A"/>
            </w:r>
            <w:r>
              <w:t>(氩气)/%</w:t>
            </w:r>
          </w:p>
        </w:tc>
        <w:tc>
          <w:tcPr>
            <w:tcW w:w="1021" w:type="pct"/>
            <w:vAlign w:val="center"/>
          </w:tcPr>
          <w:p w14:paraId="7ADDB09B">
            <w:pPr>
              <w:pStyle w:val="26"/>
            </w:pPr>
            <w:r>
              <w:t>0.03</w:t>
            </w:r>
          </w:p>
        </w:tc>
        <w:tc>
          <w:tcPr>
            <w:tcW w:w="1021" w:type="pct"/>
            <w:vAlign w:val="center"/>
          </w:tcPr>
          <w:p w14:paraId="25CD353A">
            <w:pPr>
              <w:pStyle w:val="26"/>
            </w:pPr>
            <w:r>
              <w:t>0.04</w:t>
            </w:r>
          </w:p>
        </w:tc>
        <w:tc>
          <w:tcPr>
            <w:tcW w:w="929" w:type="pct"/>
            <w:vAlign w:val="center"/>
          </w:tcPr>
          <w:p w14:paraId="4C7FC2EB">
            <w:pPr>
              <w:pStyle w:val="26"/>
            </w:pPr>
            <w:r>
              <w:t>0.03</w:t>
            </w:r>
          </w:p>
        </w:tc>
      </w:tr>
      <w:tr w14:paraId="644E2F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2029" w:type="pct"/>
            <w:vAlign w:val="center"/>
          </w:tcPr>
          <w:p w14:paraId="3E8C08F0">
            <w:pPr>
              <w:pStyle w:val="26"/>
            </w:pPr>
            <w:r>
              <w:rPr/>
              <w:sym w:font="Symbol" w:char="F06A"/>
            </w:r>
            <w:r>
              <w:t>(H</w:t>
            </w:r>
            <w:r>
              <w:rPr>
                <w:vertAlign w:val="subscript"/>
              </w:rPr>
              <w:t>2</w:t>
            </w:r>
            <w:r>
              <w:t>O)/%</w:t>
            </w:r>
          </w:p>
        </w:tc>
        <w:tc>
          <w:tcPr>
            <w:tcW w:w="1021" w:type="pct"/>
            <w:vAlign w:val="center"/>
          </w:tcPr>
          <w:p w14:paraId="1D3FA6D2">
            <w:pPr>
              <w:pStyle w:val="26"/>
            </w:pPr>
            <w:r>
              <w:t>1.09</w:t>
            </w:r>
          </w:p>
        </w:tc>
        <w:tc>
          <w:tcPr>
            <w:tcW w:w="1021" w:type="pct"/>
            <w:vAlign w:val="center"/>
          </w:tcPr>
          <w:p w14:paraId="2DEF92A4">
            <w:pPr>
              <w:pStyle w:val="26"/>
            </w:pPr>
            <w:r>
              <w:t>1.35</w:t>
            </w:r>
          </w:p>
        </w:tc>
        <w:tc>
          <w:tcPr>
            <w:tcW w:w="929" w:type="pct"/>
            <w:vAlign w:val="center"/>
          </w:tcPr>
          <w:p w14:paraId="5AD97AF0">
            <w:pPr>
              <w:pStyle w:val="26"/>
            </w:pPr>
            <w:r>
              <w:t>0.33</w:t>
            </w:r>
          </w:p>
        </w:tc>
      </w:tr>
      <w:tr w14:paraId="237CE8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4" w:hRule="atLeast"/>
          <w:jc w:val="center"/>
        </w:trPr>
        <w:tc>
          <w:tcPr>
            <w:tcW w:w="2029" w:type="pct"/>
            <w:vAlign w:val="center"/>
          </w:tcPr>
          <w:p w14:paraId="267FBFC0">
            <w:pPr>
              <w:pStyle w:val="26"/>
            </w:pPr>
            <w:r>
              <w:rPr/>
              <w:sym w:font="Symbol" w:char="F072"/>
            </w:r>
            <w:r>
              <w:t>（总硫）/（mg/m</w:t>
            </w:r>
            <w:r>
              <w:rPr>
                <w:vertAlign w:val="superscript"/>
              </w:rPr>
              <w:t>3</w:t>
            </w:r>
            <w:r>
              <w:t>）</w:t>
            </w:r>
          </w:p>
        </w:tc>
        <w:tc>
          <w:tcPr>
            <w:tcW w:w="1021" w:type="pct"/>
            <w:vAlign w:val="center"/>
          </w:tcPr>
          <w:p w14:paraId="0DEBE239">
            <w:pPr>
              <w:pStyle w:val="26"/>
            </w:pPr>
            <w:r>
              <w:t>10.79</w:t>
            </w:r>
          </w:p>
        </w:tc>
        <w:tc>
          <w:tcPr>
            <w:tcW w:w="1021" w:type="pct"/>
            <w:vAlign w:val="center"/>
          </w:tcPr>
          <w:p w14:paraId="2D526466">
            <w:pPr>
              <w:pStyle w:val="26"/>
            </w:pPr>
            <w:r>
              <w:t>18.96</w:t>
            </w:r>
          </w:p>
        </w:tc>
        <w:tc>
          <w:tcPr>
            <w:tcW w:w="929" w:type="pct"/>
            <w:vAlign w:val="center"/>
          </w:tcPr>
          <w:p w14:paraId="4CE25FAA">
            <w:pPr>
              <w:pStyle w:val="26"/>
            </w:pPr>
            <w:r>
              <w:t>7.63</w:t>
            </w:r>
          </w:p>
        </w:tc>
      </w:tr>
      <w:tr w14:paraId="6465E4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3" w:hRule="atLeast"/>
          <w:jc w:val="center"/>
        </w:trPr>
        <w:tc>
          <w:tcPr>
            <w:tcW w:w="2029" w:type="pct"/>
            <w:vAlign w:val="center"/>
          </w:tcPr>
          <w:p w14:paraId="0A01BD93">
            <w:pPr>
              <w:pStyle w:val="26"/>
            </w:pPr>
            <w:r>
              <w:rPr/>
              <w:sym w:font="Symbol" w:char="F072"/>
            </w:r>
            <w:r>
              <w:t>(H</w:t>
            </w:r>
            <w:r>
              <w:rPr>
                <w:vertAlign w:val="subscript"/>
              </w:rPr>
              <w:t>2</w:t>
            </w:r>
            <w:r>
              <w:t>S)/(mg/m</w:t>
            </w:r>
            <w:r>
              <w:rPr>
                <w:vertAlign w:val="superscript"/>
              </w:rPr>
              <w:t>3</w:t>
            </w:r>
            <w:r>
              <w:t>)</w:t>
            </w:r>
          </w:p>
        </w:tc>
        <w:tc>
          <w:tcPr>
            <w:tcW w:w="1021" w:type="pct"/>
            <w:vAlign w:val="center"/>
          </w:tcPr>
          <w:p w14:paraId="7FD25736">
            <w:pPr>
              <w:pStyle w:val="26"/>
            </w:pPr>
            <w:r>
              <w:t>4.8</w:t>
            </w:r>
          </w:p>
        </w:tc>
        <w:tc>
          <w:tcPr>
            <w:tcW w:w="1021" w:type="pct"/>
            <w:vAlign w:val="center"/>
          </w:tcPr>
          <w:p w14:paraId="4368B644">
            <w:pPr>
              <w:pStyle w:val="26"/>
            </w:pPr>
            <w:r>
              <w:t>3.4</w:t>
            </w:r>
          </w:p>
        </w:tc>
        <w:tc>
          <w:tcPr>
            <w:tcW w:w="929" w:type="pct"/>
            <w:vAlign w:val="center"/>
          </w:tcPr>
          <w:p w14:paraId="23252E17">
            <w:pPr>
              <w:pStyle w:val="26"/>
            </w:pPr>
            <w:r>
              <w:t>3.1</w:t>
            </w:r>
          </w:p>
        </w:tc>
      </w:tr>
      <w:tr w14:paraId="339E59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3" w:hRule="atLeast"/>
          <w:jc w:val="center"/>
        </w:trPr>
        <w:tc>
          <w:tcPr>
            <w:tcW w:w="2029" w:type="pct"/>
            <w:vAlign w:val="center"/>
          </w:tcPr>
          <w:p w14:paraId="33FF9CEC">
            <w:pPr>
              <w:pStyle w:val="26"/>
            </w:pPr>
            <w:r>
              <w:rPr/>
              <w:sym w:font="Symbol" w:char="F072"/>
            </w:r>
            <w:r>
              <w:t>(COS)/(mg/m</w:t>
            </w:r>
            <w:r>
              <w:rPr>
                <w:vertAlign w:val="superscript"/>
              </w:rPr>
              <w:t>3</w:t>
            </w:r>
            <w:r>
              <w:t>)</w:t>
            </w:r>
          </w:p>
        </w:tc>
        <w:tc>
          <w:tcPr>
            <w:tcW w:w="1021" w:type="pct"/>
            <w:vAlign w:val="center"/>
          </w:tcPr>
          <w:p w14:paraId="7033CD51">
            <w:pPr>
              <w:pStyle w:val="26"/>
            </w:pPr>
            <w:r>
              <w:t>5.3</w:t>
            </w:r>
          </w:p>
        </w:tc>
        <w:tc>
          <w:tcPr>
            <w:tcW w:w="1021" w:type="pct"/>
            <w:vAlign w:val="center"/>
          </w:tcPr>
          <w:p w14:paraId="0E58967D">
            <w:pPr>
              <w:pStyle w:val="26"/>
            </w:pPr>
            <w:r>
              <w:t>15</w:t>
            </w:r>
          </w:p>
        </w:tc>
        <w:tc>
          <w:tcPr>
            <w:tcW w:w="929" w:type="pct"/>
            <w:vAlign w:val="center"/>
          </w:tcPr>
          <w:p w14:paraId="7791E8D6">
            <w:pPr>
              <w:pStyle w:val="26"/>
            </w:pPr>
            <w:r>
              <w:t>4.2</w:t>
            </w:r>
          </w:p>
        </w:tc>
      </w:tr>
      <w:tr w14:paraId="691A12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2029" w:type="pct"/>
            <w:vAlign w:val="center"/>
          </w:tcPr>
          <w:p w14:paraId="5CCDCC02">
            <w:pPr>
              <w:pStyle w:val="26"/>
            </w:pPr>
            <w:r>
              <w:rPr/>
              <w:sym w:font="Symbol" w:char="F072"/>
            </w:r>
            <w:r>
              <w:t>（有机硫）/(mg/m</w:t>
            </w:r>
            <w:r>
              <w:rPr>
                <w:vertAlign w:val="superscript"/>
              </w:rPr>
              <w:t>3</w:t>
            </w:r>
            <w:r>
              <w:t>)</w:t>
            </w:r>
          </w:p>
        </w:tc>
        <w:tc>
          <w:tcPr>
            <w:tcW w:w="1021" w:type="pct"/>
            <w:vAlign w:val="center"/>
          </w:tcPr>
          <w:p w14:paraId="5E184915">
            <w:pPr>
              <w:pStyle w:val="26"/>
            </w:pPr>
            <w:r>
              <w:t>0.69</w:t>
            </w:r>
          </w:p>
        </w:tc>
        <w:tc>
          <w:tcPr>
            <w:tcW w:w="1021" w:type="pct"/>
            <w:vAlign w:val="center"/>
          </w:tcPr>
          <w:p w14:paraId="64B89B18">
            <w:pPr>
              <w:pStyle w:val="26"/>
            </w:pPr>
            <w:r>
              <w:t>0.56</w:t>
            </w:r>
          </w:p>
        </w:tc>
        <w:tc>
          <w:tcPr>
            <w:tcW w:w="929" w:type="pct"/>
            <w:vAlign w:val="center"/>
          </w:tcPr>
          <w:p w14:paraId="1922DA36">
            <w:pPr>
              <w:pStyle w:val="26"/>
            </w:pPr>
            <w:r>
              <w:t>0.33</w:t>
            </w:r>
          </w:p>
        </w:tc>
      </w:tr>
      <w:tr w14:paraId="0E7212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2029" w:type="pct"/>
            <w:vAlign w:val="center"/>
          </w:tcPr>
          <w:p w14:paraId="28342F2E">
            <w:pPr>
              <w:pStyle w:val="26"/>
            </w:pPr>
            <w:r>
              <w:t>温度</w:t>
            </w:r>
          </w:p>
        </w:tc>
        <w:tc>
          <w:tcPr>
            <w:tcW w:w="1021" w:type="pct"/>
            <w:vAlign w:val="center"/>
          </w:tcPr>
          <w:p w14:paraId="7502CE1A">
            <w:pPr>
              <w:pStyle w:val="26"/>
            </w:pPr>
          </w:p>
        </w:tc>
        <w:tc>
          <w:tcPr>
            <w:tcW w:w="1021" w:type="pct"/>
            <w:vAlign w:val="center"/>
          </w:tcPr>
          <w:p w14:paraId="07A9A5D9">
            <w:pPr>
              <w:pStyle w:val="26"/>
            </w:pPr>
            <w:r>
              <w:t>10~30℃</w:t>
            </w:r>
          </w:p>
        </w:tc>
        <w:tc>
          <w:tcPr>
            <w:tcW w:w="929" w:type="pct"/>
            <w:vAlign w:val="center"/>
          </w:tcPr>
          <w:p w14:paraId="124C269D">
            <w:pPr>
              <w:pStyle w:val="26"/>
            </w:pPr>
          </w:p>
        </w:tc>
      </w:tr>
      <w:tr w14:paraId="71F61B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2029" w:type="pct"/>
            <w:tcBorders>
              <w:bottom w:val="single" w:color="auto" w:sz="12" w:space="0"/>
            </w:tcBorders>
            <w:vAlign w:val="center"/>
          </w:tcPr>
          <w:p w14:paraId="492A6AD6">
            <w:pPr>
              <w:pStyle w:val="26"/>
            </w:pPr>
            <w:r>
              <w:t>压力</w:t>
            </w:r>
          </w:p>
        </w:tc>
        <w:tc>
          <w:tcPr>
            <w:tcW w:w="1021" w:type="pct"/>
            <w:tcBorders>
              <w:bottom w:val="single" w:color="auto" w:sz="12" w:space="0"/>
            </w:tcBorders>
            <w:vAlign w:val="center"/>
          </w:tcPr>
          <w:p w14:paraId="7B517AD7">
            <w:pPr>
              <w:pStyle w:val="26"/>
            </w:pPr>
          </w:p>
        </w:tc>
        <w:tc>
          <w:tcPr>
            <w:tcW w:w="1021" w:type="pct"/>
            <w:tcBorders>
              <w:bottom w:val="single" w:color="auto" w:sz="12" w:space="0"/>
            </w:tcBorders>
            <w:vAlign w:val="center"/>
          </w:tcPr>
          <w:p w14:paraId="7FE287E8">
            <w:pPr>
              <w:pStyle w:val="26"/>
            </w:pPr>
            <w:r>
              <w:t>6~28kPa</w:t>
            </w:r>
          </w:p>
        </w:tc>
        <w:tc>
          <w:tcPr>
            <w:tcW w:w="929" w:type="pct"/>
            <w:tcBorders>
              <w:bottom w:val="single" w:color="auto" w:sz="12" w:space="0"/>
            </w:tcBorders>
            <w:vAlign w:val="center"/>
          </w:tcPr>
          <w:p w14:paraId="3084CE96">
            <w:pPr>
              <w:pStyle w:val="26"/>
            </w:pPr>
          </w:p>
        </w:tc>
      </w:tr>
    </w:tbl>
    <w:p w14:paraId="0983EA6B">
      <w:pPr>
        <w:pStyle w:val="23"/>
        <w:ind w:firstLine="480"/>
        <w:rPr>
          <w:rFonts w:cs="Times New Roman"/>
        </w:rPr>
      </w:pPr>
      <w:r>
        <w:rPr>
          <w:rFonts w:cs="Times New Roman"/>
        </w:rPr>
        <w:t>陕西是国家重要的能源化工基地，榆林是全国四个现代煤化工产业示范区（内蒙古鄂尔多斯、陕西榆林、宁夏宁东、新疆准东）之一。目前，陕西省已建成一批技术领先的标志性现代煤化工示范项目，形成了485万吨/年煤制甲醇产能、452万吨/年煤制烯烃产能、428万吨/年煤制油产能；构建了煤制油、煤制烯烃、煤制芳烃、煤制醋酸四大产业链，综合年产能4000万吨以上，煤炭资源就地转化率达到50%以上。现代煤化工在该省石化工业总产值的占比达到45%，对经济社会发展起到了重要的支撑和保障作用。</w:t>
      </w:r>
    </w:p>
    <w:p w14:paraId="66610C1C">
      <w:pPr>
        <w:pStyle w:val="4"/>
        <w:spacing w:before="156" w:after="156"/>
      </w:pPr>
      <w:bookmarkStart w:id="14" w:name="_Toc184600169"/>
      <w:r>
        <w:t>煤制</w:t>
      </w:r>
      <w:r>
        <w:rPr>
          <w:rFonts w:hint="eastAsia"/>
        </w:rPr>
        <w:t>烯烃</w:t>
      </w:r>
      <w:bookmarkEnd w:id="14"/>
    </w:p>
    <w:p w14:paraId="01D6A7FD">
      <w:pPr>
        <w:pStyle w:val="23"/>
        <w:ind w:firstLine="480"/>
        <w:rPr>
          <w:rFonts w:cs="Times New Roman"/>
        </w:rPr>
      </w:pPr>
      <w:r>
        <w:rPr>
          <w:rFonts w:cs="Times New Roman"/>
        </w:rPr>
        <w:t>甲醇制烯烃技术涉及三项核心技术，分别是煤气化技术、甲醇合成技术、甲醇制烯烃技术。其中，前两项技术的发展已经较为成熟，目前不同煤制烯烃技术的区别主要体现在甲醇制烯烃技术环节。一般认为甲醇制烯烃的反应过程是：甲醇首先脱水为二甲醚（DME），再继续脱水生成包括乙烯和丙烯在内的低碳烯烃，少量低碳烯烃则以缩聚、环化、脱氧、烷基化、氢转移等反应生成饱和烃、芳烃及高级烯烃等。</w:t>
      </w:r>
    </w:p>
    <w:p w14:paraId="22F74F95">
      <w:pPr>
        <w:pStyle w:val="23"/>
        <w:keepNext/>
        <w:ind w:firstLine="0" w:firstLineChars="0"/>
        <w:jc w:val="center"/>
        <w:rPr>
          <w:rFonts w:cs="Times New Roman"/>
        </w:rPr>
      </w:pPr>
      <w:r>
        <w:rPr>
          <w:rFonts w:cs="Times New Roman"/>
        </w:rPr>
        <w:object>
          <v:shape id="_x0000_i1027" o:spt="75" type="#_x0000_t75" style="height:144pt;width:411pt;" o:ole="t" filled="f" o:preferrelative="t" stroked="f" coordsize="21600,21600">
            <v:path/>
            <v:fill on="f" focussize="0,0"/>
            <v:stroke on="f" joinstyle="miter"/>
            <v:imagedata r:id="rId13" cropleft="18139f" croptop="22928f" cropright="14281f" cropbottom="15919f" o:title=""/>
            <o:lock v:ext="edit" aspectratio="t"/>
            <w10:wrap type="none"/>
            <w10:anchorlock/>
          </v:shape>
          <o:OLEObject Type="Embed" ProgID="AutoCAD.Drawing.24" ShapeID="_x0000_i1027" DrawAspect="Content" ObjectID="_1468075727" r:id="rId12">
            <o:LockedField>false</o:LockedField>
          </o:OLEObject>
        </w:object>
      </w:r>
    </w:p>
    <w:p w14:paraId="04B4C33A">
      <w:pPr>
        <w:pStyle w:val="30"/>
        <w:rPr>
          <w:rFonts w:cs="Times New Roman"/>
        </w:rPr>
      </w:pPr>
      <w:r>
        <w:rPr>
          <w:rFonts w:cs="Times New Roman"/>
        </w:rPr>
        <w:t>图</w:t>
      </w:r>
      <w:r>
        <w:rPr>
          <w:rFonts w:cs="Times New Roman"/>
        </w:rPr>
        <w:fldChar w:fldCharType="begin"/>
      </w:r>
      <w:r>
        <w:rPr>
          <w:rFonts w:cs="Times New Roman"/>
        </w:rPr>
        <w:instrText xml:space="preserve"> SEQ 图 \* ARABIC </w:instrText>
      </w:r>
      <w:r>
        <w:rPr>
          <w:rFonts w:cs="Times New Roman"/>
        </w:rPr>
        <w:fldChar w:fldCharType="separate"/>
      </w:r>
      <w:r>
        <w:rPr>
          <w:rFonts w:cs="Times New Roman"/>
        </w:rPr>
        <w:t>3</w:t>
      </w:r>
      <w:r>
        <w:rPr>
          <w:rFonts w:cs="Times New Roman"/>
        </w:rPr>
        <w:fldChar w:fldCharType="end"/>
      </w:r>
      <w:r>
        <w:rPr>
          <w:rFonts w:cs="Times New Roman"/>
        </w:rPr>
        <w:t xml:space="preserve"> 甲醇制烯烃的反应过程</w:t>
      </w:r>
    </w:p>
    <w:p w14:paraId="25B2461D">
      <w:pPr>
        <w:pStyle w:val="23"/>
        <w:ind w:firstLine="480"/>
        <w:rPr>
          <w:rFonts w:cs="Times New Roman"/>
        </w:rPr>
      </w:pPr>
      <w:r>
        <w:rPr>
          <w:rFonts w:cs="Times New Roman"/>
        </w:rPr>
        <w:t>不同的烯烃生产工艺路线的碳排放特点差异较大。</w:t>
      </w:r>
    </w:p>
    <w:p w14:paraId="4338894C">
      <w:pPr>
        <w:pStyle w:val="23"/>
        <w:ind w:firstLine="480"/>
        <w:rPr>
          <w:rFonts w:cs="Times New Roman"/>
        </w:rPr>
      </w:pPr>
      <w:r>
        <w:rPr>
          <w:rFonts w:cs="Times New Roman"/>
        </w:rPr>
        <w:t>蒸汽裂解装置是在高温和水蒸汽存在的条件下发生分子断裂和脱氢反应生产烯烃，目前主流蒸汽裂解装置单位烯烃（乙烯+丙烯）燃动能耗在400～430 kgoe/t烯烃。蒸汽裂解制烯烃主要的CO</w:t>
      </w:r>
      <w:r>
        <w:rPr>
          <w:rFonts w:cs="Times New Roman"/>
          <w:vertAlign w:val="subscript"/>
        </w:rPr>
        <w:t>2</w:t>
      </w:r>
      <w:r>
        <w:rPr>
          <w:rFonts w:cs="Times New Roman"/>
        </w:rPr>
        <w:t>排放来自裂解炉燃料气燃烧，约占整个生产过程碳排放的80%以上，少部分来自驱动各种压缩机所需的蒸汽和电力带来的碳排放，约占15%～20%，工业生产过程排放较少，主要是烧焦产生的部分CO</w:t>
      </w:r>
      <w:r>
        <w:rPr>
          <w:rFonts w:cs="Times New Roman"/>
          <w:vertAlign w:val="subscript"/>
        </w:rPr>
        <w:t>2</w:t>
      </w:r>
      <w:r>
        <w:rPr>
          <w:rFonts w:cs="Times New Roman"/>
        </w:rPr>
        <w:t>排放，约占总排放量的1%。装置规模是影响蒸汽裂解碳排放强度的重要因素，装置规模越大，裂解和分离过程效率越高，吨烯烃排放强度越低。百万吨级以上的大型裂解装置吨烯烃排放强度约为30万吨级小裂解装置的2/3。综合计算，百万吨级规模石脑油蒸汽裂解装置CO</w:t>
      </w:r>
      <w:r>
        <w:rPr>
          <w:rFonts w:cs="Times New Roman"/>
          <w:vertAlign w:val="subscript"/>
        </w:rPr>
        <w:t>2</w:t>
      </w:r>
      <w:r>
        <w:rPr>
          <w:rFonts w:cs="Times New Roman"/>
        </w:rPr>
        <w:t>排放强度约为1t CO</w:t>
      </w:r>
      <w:r>
        <w:rPr>
          <w:rFonts w:cs="Times New Roman"/>
          <w:vertAlign w:val="subscript"/>
        </w:rPr>
        <w:t>2</w:t>
      </w:r>
      <w:r>
        <w:rPr>
          <w:rFonts w:cs="Times New Roman"/>
        </w:rPr>
        <w:t>/t烯烃（乙烯+丙烯）。若采用液化气、乙烷等轻质原料，CO</w:t>
      </w:r>
      <w:r>
        <w:rPr>
          <w:rFonts w:cs="Times New Roman"/>
          <w:vertAlign w:val="subscript"/>
        </w:rPr>
        <w:t>2</w:t>
      </w:r>
      <w:r>
        <w:rPr>
          <w:rFonts w:cs="Times New Roman"/>
        </w:rPr>
        <w:t>排放强度可达到0.8t CO</w:t>
      </w:r>
      <w:r>
        <w:rPr>
          <w:rFonts w:cs="Times New Roman"/>
          <w:vertAlign w:val="subscript"/>
        </w:rPr>
        <w:t>2</w:t>
      </w:r>
      <w:r>
        <w:rPr>
          <w:rFonts w:cs="Times New Roman"/>
        </w:rPr>
        <w:t>/t烯烃（乙烯+丙烯）以下。</w:t>
      </w:r>
    </w:p>
    <w:p w14:paraId="6AF7FC60">
      <w:pPr>
        <w:pStyle w:val="23"/>
        <w:ind w:firstLine="480"/>
        <w:rPr>
          <w:rFonts w:cs="Times New Roman"/>
        </w:rPr>
      </w:pPr>
      <w:r>
        <w:rPr>
          <w:rFonts w:cs="Times New Roman"/>
        </w:rPr>
        <w:t>丙烷脱氢以丙烷为原料，在催化剂作用下发生脱氢反应生产丙烯。当前主流丙烷脱氢装置燃动能耗在400～500 kgoe/t丙烯，略高大规模蒸汽裂解装置吨烯烃能耗，其中Lummus公司的Catofin固定床工艺能耗低于UOP公司的Oleflex移动床工艺。丙烷脱氢装置的主要能耗来自驱动压缩机所需的蒸汽，以及加热炉所需的燃料气。根据规模和工艺技术的不同，吨烯烃CO</w:t>
      </w:r>
      <w:r>
        <w:rPr>
          <w:rFonts w:cs="Times New Roman"/>
          <w:vertAlign w:val="subscript"/>
        </w:rPr>
        <w:t>2</w:t>
      </w:r>
      <w:r>
        <w:rPr>
          <w:rFonts w:cs="Times New Roman"/>
        </w:rPr>
        <w:t>排放量约为1.2～1.4t，单位产品排放强度高于大规模的蒸汽裂解装置。</w:t>
      </w:r>
    </w:p>
    <w:p w14:paraId="4699F1ED">
      <w:pPr>
        <w:pStyle w:val="23"/>
        <w:ind w:firstLine="480"/>
        <w:rPr>
          <w:rFonts w:cs="Times New Roman"/>
        </w:rPr>
      </w:pPr>
      <w:r>
        <w:rPr>
          <w:rFonts w:cs="Times New Roman"/>
        </w:rPr>
        <w:t>煤/甲醇制烯烃的CO</w:t>
      </w:r>
      <w:r>
        <w:rPr>
          <w:rFonts w:cs="Times New Roman"/>
          <w:vertAlign w:val="subscript"/>
        </w:rPr>
        <w:t>2</w:t>
      </w:r>
      <w:r>
        <w:rPr>
          <w:rFonts w:cs="Times New Roman"/>
        </w:rPr>
        <w:t>排放可分为两个环节，即煤制甲醇和甲醇制烯烃。其中，煤制甲醇环节是CO</w:t>
      </w:r>
      <w:r>
        <w:rPr>
          <w:rFonts w:cs="Times New Roman"/>
          <w:vertAlign w:val="subscript"/>
        </w:rPr>
        <w:t>2</w:t>
      </w:r>
      <w:r>
        <w:rPr>
          <w:rFonts w:cs="Times New Roman"/>
        </w:rPr>
        <w:t>排放的主要来源。由于煤炭原料氢碳比低，煤气化合成气不能满足甲醇合成氢碳比2.0的要求，需要通过水煤气变换将CO转化为CO</w:t>
      </w:r>
      <w:r>
        <w:rPr>
          <w:rFonts w:cs="Times New Roman"/>
          <w:vertAlign w:val="subscript"/>
        </w:rPr>
        <w:t>2</w:t>
      </w:r>
      <w:r>
        <w:rPr>
          <w:rFonts w:cs="Times New Roman"/>
        </w:rPr>
        <w:t>并生成氢气，以满足甲醇合成要求的碳氢比，这一过程产生大量的CO</w:t>
      </w:r>
      <w:r>
        <w:rPr>
          <w:rFonts w:cs="Times New Roman"/>
          <w:vertAlign w:val="subscript"/>
        </w:rPr>
        <w:t>2</w:t>
      </w:r>
      <w:r>
        <w:rPr>
          <w:rFonts w:cs="Times New Roman"/>
        </w:rPr>
        <w:t>排放。另外，大型煤气化装置一般采用纯氧氧化，需要大规模的空分装置和锅炉驱动，燃料煤燃烧也产生大量CO</w:t>
      </w:r>
      <w:r>
        <w:rPr>
          <w:rFonts w:cs="Times New Roman"/>
          <w:vertAlign w:val="subscript"/>
        </w:rPr>
        <w:t>2</w:t>
      </w:r>
      <w:r>
        <w:rPr>
          <w:rFonts w:cs="Times New Roman"/>
        </w:rPr>
        <w:t>排放。目前主流工艺吨甲醇CO</w:t>
      </w:r>
      <w:r>
        <w:rPr>
          <w:rFonts w:cs="Times New Roman"/>
          <w:vertAlign w:val="subscript"/>
        </w:rPr>
        <w:t>2</w:t>
      </w:r>
      <w:r>
        <w:rPr>
          <w:rFonts w:cs="Times New Roman"/>
        </w:rPr>
        <w:t>排放约为3t。甲醇制烯烃（MTO）过程的主要能耗来自蒸汽和电力，吨烯烃排放约为1.3t CO</w:t>
      </w:r>
      <w:r>
        <w:rPr>
          <w:rFonts w:cs="Times New Roman"/>
          <w:vertAlign w:val="subscript"/>
        </w:rPr>
        <w:t>2</w:t>
      </w:r>
      <w:r>
        <w:rPr>
          <w:rFonts w:cs="Times New Roman"/>
        </w:rPr>
        <w:t>（乙烯+丙烯）。综合煤制甲醇环节和甲醇制烯烃环节，煤制烯烃（CTO）吨烯烃排放约为10t CO</w:t>
      </w:r>
      <w:r>
        <w:rPr>
          <w:rFonts w:cs="Times New Roman"/>
          <w:vertAlign w:val="subscript"/>
        </w:rPr>
        <w:t>2</w:t>
      </w:r>
      <w:r>
        <w:rPr>
          <w:rFonts w:cs="Times New Roman"/>
        </w:rPr>
        <w:t>（乙烯+丙烯）左右。</w:t>
      </w:r>
    </w:p>
    <w:p w14:paraId="1AE2DF1A">
      <w:pPr>
        <w:pStyle w:val="23"/>
        <w:ind w:firstLine="480"/>
        <w:rPr>
          <w:rFonts w:cs="Times New Roman"/>
        </w:rPr>
      </w:pPr>
      <w:r>
        <w:rPr>
          <w:rFonts w:cs="Times New Roman"/>
        </w:rPr>
        <w:t>河南、安徽、贵州等诸多省市和地区，均在大力发展煤化工。河南省是传统煤化工产业大省，合成氨产量、甲醇产量均位居全国前列。目前，控制新增传统煤化工产能，发展下游企业，努力建成以精细化工产品为主导的国内一流现代煤化工基地，是河南煤化工的重点发展方向。安徽省涵盖传统煤化工和现代煤化工领域，也是以传统煤化工为主。传统煤化工主要涉及煤焦化产业链、合成氨化肥产业链、传统甲醇碳一产业链。其中，中安煤化一体化项目于2019年建成并投产，包括35万吨/年聚乙烯，35万吨/年聚丙烯，配套建设400万吨/年煤矿，总投资达182.45亿元，是该区最大的煤化工项目。2022年6月，中石化织金50万吨/年PGA（聚乙醇酸）项目落地贵州织金县，项目投资230亿元，一期预计2025年建成投产。该项目利用传统的煤炭资源，将其转化为易降解的聚乙醇酸，进一步被企业用于生产高端绿色环保产品，是该区新型煤化工工业化的标志性项目。将煤化工前沿技术向工业化进军，是新型煤化工的发展趋势。</w:t>
      </w:r>
    </w:p>
    <w:p w14:paraId="341A6F21">
      <w:pPr>
        <w:pStyle w:val="4"/>
        <w:spacing w:before="156" w:after="156"/>
      </w:pPr>
      <w:bookmarkStart w:id="15" w:name="_Toc184600170"/>
      <w:r>
        <w:rPr>
          <w:rFonts w:hint="eastAsia"/>
        </w:rPr>
        <w:t>煤炭气化</w:t>
      </w:r>
      <w:bookmarkEnd w:id="15"/>
    </w:p>
    <w:p w14:paraId="3EEB631B">
      <w:pPr>
        <w:pStyle w:val="23"/>
        <w:ind w:firstLine="480"/>
        <w:rPr>
          <w:rFonts w:cs="Times New Roman"/>
        </w:rPr>
      </w:pPr>
      <w:r>
        <w:rPr>
          <w:rFonts w:cs="Times New Roman"/>
        </w:rPr>
        <w:t>煤炭气化指在一定温度、压力下，用气化剂对煤进行热化学加工，将煤中有机质转变为煤气的过程。其涵义就是以煤、半焦或焦炭为原料，以空气、富氧、水蒸气、二氧化碳或氢气为气化介质，使煤经过部分氧化和还原反应，将其在所含碳、氢等物质转化成为一氧化碳、氢、甲烷等可燃组分为主的气体产物的多相反应过程。对此气体产品进行进一步加工，可制得其他气体、液体燃烧料或化工产品。经气化，煤的潜热将尽可能多地变为煤气的潜热。</w:t>
      </w:r>
    </w:p>
    <w:p w14:paraId="6745E483">
      <w:pPr>
        <w:pStyle w:val="23"/>
        <w:keepNext/>
        <w:ind w:firstLine="0" w:firstLineChars="0"/>
        <w:jc w:val="center"/>
        <w:rPr>
          <w:rFonts w:cs="Times New Roman"/>
        </w:rPr>
      </w:pPr>
      <w:r>
        <w:rPr>
          <w:rFonts w:cs="Times New Roman"/>
        </w:rPr>
        <w:object>
          <v:shape id="_x0000_i1028" o:spt="75" type="#_x0000_t75" style="height:252pt;width:396.75pt;" o:ole="t" filled="f" o:preferrelative="t" stroked="f" coordsize="21600,21600">
            <v:path/>
            <v:fill on="f" focussize="0,0"/>
            <v:stroke on="f" joinstyle="miter"/>
            <v:imagedata r:id="rId15" cropleft="14913f" croptop="8643f" cropright="19570f" cropbottom="10514f" o:title=""/>
            <o:lock v:ext="edit" aspectratio="t"/>
            <w10:wrap type="none"/>
            <w10:anchorlock/>
          </v:shape>
          <o:OLEObject Type="Embed" ProgID="AutoCAD.Drawing.24" ShapeID="_x0000_i1028" DrawAspect="Content" ObjectID="_1468075728" r:id="rId14">
            <o:LockedField>false</o:LockedField>
          </o:OLEObject>
        </w:object>
      </w:r>
    </w:p>
    <w:p w14:paraId="7F5C7065">
      <w:pPr>
        <w:pStyle w:val="30"/>
        <w:rPr>
          <w:rFonts w:cs="Times New Roman"/>
        </w:rPr>
      </w:pPr>
      <w:r>
        <w:rPr>
          <w:rFonts w:cs="Times New Roman"/>
        </w:rPr>
        <w:t>图</w:t>
      </w:r>
      <w:r>
        <w:rPr>
          <w:rFonts w:cs="Times New Roman"/>
        </w:rPr>
        <w:fldChar w:fldCharType="begin"/>
      </w:r>
      <w:r>
        <w:rPr>
          <w:rFonts w:cs="Times New Roman"/>
        </w:rPr>
        <w:instrText xml:space="preserve"> SEQ 图 \* ARABIC </w:instrText>
      </w:r>
      <w:r>
        <w:rPr>
          <w:rFonts w:cs="Times New Roman"/>
        </w:rPr>
        <w:fldChar w:fldCharType="separate"/>
      </w:r>
      <w:r>
        <w:rPr>
          <w:rFonts w:cs="Times New Roman"/>
        </w:rPr>
        <w:t>4</w:t>
      </w:r>
      <w:r>
        <w:rPr>
          <w:rFonts w:cs="Times New Roman"/>
        </w:rPr>
        <w:fldChar w:fldCharType="end"/>
      </w:r>
      <w:r>
        <w:rPr>
          <w:rFonts w:cs="Times New Roman"/>
        </w:rPr>
        <w:t xml:space="preserve"> 煤气化工业流程图</w:t>
      </w:r>
    </w:p>
    <w:p w14:paraId="1850C7BB">
      <w:pPr>
        <w:pStyle w:val="28"/>
        <w:rPr>
          <w:rFonts w:cs="Times New Roman"/>
        </w:rPr>
      </w:pPr>
      <w:r>
        <w:rPr>
          <w:rFonts w:cs="Times New Roman"/>
        </w:rPr>
        <w:t>表</w:t>
      </w:r>
      <w:r>
        <w:rPr>
          <w:rFonts w:cs="Times New Roman"/>
        </w:rPr>
        <w:fldChar w:fldCharType="begin"/>
      </w:r>
      <w:r>
        <w:rPr>
          <w:rFonts w:cs="Times New Roman"/>
        </w:rPr>
        <w:instrText xml:space="preserve"> SEQ 表 \* ARABIC </w:instrText>
      </w:r>
      <w:r>
        <w:rPr>
          <w:rFonts w:cs="Times New Roman"/>
        </w:rPr>
        <w:fldChar w:fldCharType="separate"/>
      </w:r>
      <w:r>
        <w:rPr>
          <w:rFonts w:cs="Times New Roman"/>
        </w:rPr>
        <w:t>7</w:t>
      </w:r>
      <w:r>
        <w:rPr>
          <w:rFonts w:cs="Times New Roman"/>
        </w:rPr>
        <w:fldChar w:fldCharType="end"/>
      </w:r>
      <w:r>
        <w:rPr>
          <w:rFonts w:cs="Times New Roman"/>
        </w:rPr>
        <w:t xml:space="preserve"> 水煤浆气化结果表</w:t>
      </w:r>
    </w:p>
    <w:tbl>
      <w:tblPr>
        <w:tblStyle w:val="16"/>
        <w:tblW w:w="5000" w:type="pct"/>
        <w:jc w:val="center"/>
        <w:tblLayout w:type="autofit"/>
        <w:tblCellMar>
          <w:top w:w="15" w:type="dxa"/>
          <w:left w:w="15" w:type="dxa"/>
          <w:bottom w:w="15" w:type="dxa"/>
          <w:right w:w="15" w:type="dxa"/>
        </w:tblCellMar>
      </w:tblPr>
      <w:tblGrid>
        <w:gridCol w:w="1135"/>
        <w:gridCol w:w="769"/>
        <w:gridCol w:w="1116"/>
        <w:gridCol w:w="1166"/>
        <w:gridCol w:w="1485"/>
        <w:gridCol w:w="811"/>
        <w:gridCol w:w="1824"/>
      </w:tblGrid>
      <w:tr w14:paraId="6529A864">
        <w:tblPrEx>
          <w:tblCellMar>
            <w:top w:w="15" w:type="dxa"/>
            <w:left w:w="15" w:type="dxa"/>
            <w:bottom w:w="15" w:type="dxa"/>
            <w:right w:w="15" w:type="dxa"/>
          </w:tblCellMar>
        </w:tblPrEx>
        <w:trPr>
          <w:trHeight w:val="288" w:hRule="atLeast"/>
          <w:jc w:val="center"/>
        </w:trPr>
        <w:tc>
          <w:tcPr>
            <w:tcW w:w="683" w:type="pct"/>
            <w:tcBorders>
              <w:top w:val="single" w:color="auto" w:sz="12" w:space="0"/>
              <w:bottom w:val="single" w:color="auto" w:sz="6" w:space="0"/>
            </w:tcBorders>
            <w:tcMar>
              <w:top w:w="0" w:type="dxa"/>
              <w:left w:w="0" w:type="dxa"/>
              <w:bottom w:w="0" w:type="dxa"/>
              <w:right w:w="0" w:type="dxa"/>
            </w:tcMar>
            <w:vAlign w:val="center"/>
          </w:tcPr>
          <w:p w14:paraId="6E0B2048">
            <w:pPr>
              <w:pStyle w:val="26"/>
            </w:pPr>
            <w:r>
              <w:t>项目</w:t>
            </w:r>
          </w:p>
        </w:tc>
        <w:tc>
          <w:tcPr>
            <w:tcW w:w="463" w:type="pct"/>
            <w:tcBorders>
              <w:top w:val="single" w:color="auto" w:sz="12" w:space="0"/>
              <w:bottom w:val="single" w:color="auto" w:sz="6" w:space="0"/>
            </w:tcBorders>
            <w:tcMar>
              <w:top w:w="0" w:type="dxa"/>
              <w:left w:w="0" w:type="dxa"/>
              <w:bottom w:w="0" w:type="dxa"/>
              <w:right w:w="0" w:type="dxa"/>
            </w:tcMar>
            <w:vAlign w:val="center"/>
          </w:tcPr>
          <w:p w14:paraId="3BE251B5">
            <w:pPr>
              <w:pStyle w:val="26"/>
            </w:pPr>
            <w:r>
              <w:t>H</w:t>
            </w:r>
            <w:r>
              <w:rPr>
                <w:vertAlign w:val="subscript"/>
              </w:rPr>
              <w:t>2</w:t>
            </w:r>
            <w:r>
              <w:t>体积分数/%</w:t>
            </w:r>
          </w:p>
        </w:tc>
        <w:tc>
          <w:tcPr>
            <w:tcW w:w="672" w:type="pct"/>
            <w:tcBorders>
              <w:top w:val="single" w:color="auto" w:sz="12" w:space="0"/>
              <w:bottom w:val="single" w:color="auto" w:sz="6" w:space="0"/>
            </w:tcBorders>
            <w:tcMar>
              <w:top w:w="0" w:type="dxa"/>
              <w:left w:w="0" w:type="dxa"/>
              <w:bottom w:w="0" w:type="dxa"/>
              <w:right w:w="0" w:type="dxa"/>
            </w:tcMar>
            <w:vAlign w:val="center"/>
          </w:tcPr>
          <w:p w14:paraId="746567CA">
            <w:pPr>
              <w:pStyle w:val="26"/>
            </w:pPr>
            <w:r>
              <w:t>CO体积分数/%</w:t>
            </w:r>
          </w:p>
        </w:tc>
        <w:tc>
          <w:tcPr>
            <w:tcW w:w="702" w:type="pct"/>
            <w:tcBorders>
              <w:top w:val="single" w:color="auto" w:sz="12" w:space="0"/>
              <w:bottom w:val="single" w:color="auto" w:sz="6" w:space="0"/>
            </w:tcBorders>
            <w:tcMar>
              <w:top w:w="0" w:type="dxa"/>
              <w:left w:w="0" w:type="dxa"/>
              <w:bottom w:w="0" w:type="dxa"/>
              <w:right w:w="0" w:type="dxa"/>
            </w:tcMar>
            <w:vAlign w:val="center"/>
          </w:tcPr>
          <w:p w14:paraId="714BA4D2">
            <w:pPr>
              <w:pStyle w:val="26"/>
            </w:pPr>
            <w:r>
              <w:t>CO</w:t>
            </w:r>
            <w:r>
              <w:rPr>
                <w:vertAlign w:val="subscript"/>
              </w:rPr>
              <w:t>2</w:t>
            </w:r>
            <w:r>
              <w:t>体积分数/%</w:t>
            </w:r>
          </w:p>
        </w:tc>
        <w:tc>
          <w:tcPr>
            <w:tcW w:w="894" w:type="pct"/>
            <w:tcBorders>
              <w:top w:val="single" w:color="auto" w:sz="12" w:space="0"/>
              <w:bottom w:val="single" w:color="auto" w:sz="6" w:space="0"/>
            </w:tcBorders>
            <w:tcMar>
              <w:top w:w="0" w:type="dxa"/>
              <w:left w:w="0" w:type="dxa"/>
              <w:bottom w:w="0" w:type="dxa"/>
              <w:right w:w="0" w:type="dxa"/>
            </w:tcMar>
            <w:vAlign w:val="center"/>
          </w:tcPr>
          <w:p w14:paraId="7DFEF09D">
            <w:pPr>
              <w:pStyle w:val="26"/>
            </w:pPr>
            <w:r>
              <w:t>CH</w:t>
            </w:r>
            <w:r>
              <w:rPr>
                <w:vertAlign w:val="subscript"/>
              </w:rPr>
              <w:t>4</w:t>
            </w:r>
            <w:r>
              <w:t>含量/mg</w:t>
            </w:r>
            <w:r>
              <w:rPr>
                <w:rFonts w:eastAsia="微软雅黑"/>
              </w:rPr>
              <w:t>・</w:t>
            </w:r>
            <w:r>
              <w:t>L</w:t>
            </w:r>
          </w:p>
        </w:tc>
        <w:tc>
          <w:tcPr>
            <w:tcW w:w="488" w:type="pct"/>
            <w:tcBorders>
              <w:top w:val="single" w:color="auto" w:sz="12" w:space="0"/>
              <w:bottom w:val="single" w:color="auto" w:sz="6" w:space="0"/>
            </w:tcBorders>
            <w:tcMar>
              <w:top w:w="0" w:type="dxa"/>
              <w:left w:w="0" w:type="dxa"/>
              <w:bottom w:w="0" w:type="dxa"/>
              <w:right w:w="0" w:type="dxa"/>
            </w:tcMar>
            <w:vAlign w:val="center"/>
          </w:tcPr>
          <w:p w14:paraId="3861BFA1">
            <w:pPr>
              <w:pStyle w:val="26"/>
            </w:pPr>
            <w:r>
              <w:t>H</w:t>
            </w:r>
            <w:r>
              <w:rPr>
                <w:vertAlign w:val="subscript"/>
              </w:rPr>
              <w:t>2</w:t>
            </w:r>
            <w:r>
              <w:t>S体积分数/%</w:t>
            </w:r>
          </w:p>
        </w:tc>
        <w:tc>
          <w:tcPr>
            <w:tcW w:w="1098" w:type="pct"/>
            <w:tcBorders>
              <w:top w:val="single" w:color="auto" w:sz="12" w:space="0"/>
              <w:bottom w:val="single" w:color="auto" w:sz="6" w:space="0"/>
            </w:tcBorders>
            <w:tcMar>
              <w:top w:w="0" w:type="dxa"/>
              <w:left w:w="0" w:type="dxa"/>
              <w:bottom w:w="0" w:type="dxa"/>
              <w:right w:w="0" w:type="dxa"/>
            </w:tcMar>
            <w:vAlign w:val="center"/>
          </w:tcPr>
          <w:p w14:paraId="1901626D">
            <w:pPr>
              <w:pStyle w:val="26"/>
            </w:pPr>
            <w:r>
              <w:t>（CO+H</w:t>
            </w:r>
            <w:r>
              <w:rPr>
                <w:vertAlign w:val="subscript"/>
              </w:rPr>
              <w:t>2</w:t>
            </w:r>
            <w:r>
              <w:t>）体积分数/%</w:t>
            </w:r>
          </w:p>
        </w:tc>
      </w:tr>
      <w:tr w14:paraId="72A38F50">
        <w:tblPrEx>
          <w:tblCellMar>
            <w:top w:w="15" w:type="dxa"/>
            <w:left w:w="15" w:type="dxa"/>
            <w:bottom w:w="15" w:type="dxa"/>
            <w:right w:w="15" w:type="dxa"/>
          </w:tblCellMar>
        </w:tblPrEx>
        <w:trPr>
          <w:trHeight w:val="274" w:hRule="atLeast"/>
          <w:jc w:val="center"/>
        </w:trPr>
        <w:tc>
          <w:tcPr>
            <w:tcW w:w="683" w:type="pct"/>
            <w:tcBorders>
              <w:top w:val="single" w:color="auto" w:sz="6" w:space="0"/>
            </w:tcBorders>
            <w:tcMar>
              <w:top w:w="0" w:type="dxa"/>
              <w:left w:w="0" w:type="dxa"/>
              <w:bottom w:w="0" w:type="dxa"/>
              <w:right w:w="0" w:type="dxa"/>
            </w:tcMar>
            <w:vAlign w:val="center"/>
          </w:tcPr>
          <w:p w14:paraId="0A2DF865">
            <w:pPr>
              <w:pStyle w:val="26"/>
            </w:pPr>
            <w:r>
              <w:t>模拟值</w:t>
            </w:r>
          </w:p>
        </w:tc>
        <w:tc>
          <w:tcPr>
            <w:tcW w:w="463" w:type="pct"/>
            <w:tcBorders>
              <w:top w:val="single" w:color="auto" w:sz="6" w:space="0"/>
            </w:tcBorders>
            <w:tcMar>
              <w:top w:w="0" w:type="dxa"/>
              <w:left w:w="0" w:type="dxa"/>
              <w:bottom w:w="0" w:type="dxa"/>
              <w:right w:w="0" w:type="dxa"/>
            </w:tcMar>
            <w:vAlign w:val="center"/>
          </w:tcPr>
          <w:p w14:paraId="209EFC08">
            <w:pPr>
              <w:pStyle w:val="26"/>
            </w:pPr>
            <w:r>
              <w:t>37.14</w:t>
            </w:r>
          </w:p>
        </w:tc>
        <w:tc>
          <w:tcPr>
            <w:tcW w:w="672" w:type="pct"/>
            <w:tcBorders>
              <w:top w:val="single" w:color="auto" w:sz="6" w:space="0"/>
            </w:tcBorders>
            <w:tcMar>
              <w:top w:w="0" w:type="dxa"/>
              <w:left w:w="0" w:type="dxa"/>
              <w:bottom w:w="0" w:type="dxa"/>
              <w:right w:w="0" w:type="dxa"/>
            </w:tcMar>
            <w:vAlign w:val="center"/>
          </w:tcPr>
          <w:p w14:paraId="0E37815F">
            <w:pPr>
              <w:pStyle w:val="26"/>
            </w:pPr>
            <w:r>
              <w:t>40.57</w:t>
            </w:r>
          </w:p>
        </w:tc>
        <w:tc>
          <w:tcPr>
            <w:tcW w:w="702" w:type="pct"/>
            <w:tcBorders>
              <w:top w:val="single" w:color="auto" w:sz="6" w:space="0"/>
            </w:tcBorders>
            <w:tcMar>
              <w:top w:w="0" w:type="dxa"/>
              <w:left w:w="0" w:type="dxa"/>
              <w:bottom w:w="0" w:type="dxa"/>
              <w:right w:w="0" w:type="dxa"/>
            </w:tcMar>
            <w:vAlign w:val="center"/>
          </w:tcPr>
          <w:p w14:paraId="026AD16A">
            <w:pPr>
              <w:pStyle w:val="26"/>
            </w:pPr>
            <w:r>
              <w:t>21.52</w:t>
            </w:r>
          </w:p>
        </w:tc>
        <w:tc>
          <w:tcPr>
            <w:tcW w:w="894" w:type="pct"/>
            <w:tcBorders>
              <w:top w:val="single" w:color="auto" w:sz="6" w:space="0"/>
            </w:tcBorders>
            <w:tcMar>
              <w:top w:w="0" w:type="dxa"/>
              <w:left w:w="0" w:type="dxa"/>
              <w:bottom w:w="0" w:type="dxa"/>
              <w:right w:w="0" w:type="dxa"/>
            </w:tcMar>
            <w:vAlign w:val="center"/>
          </w:tcPr>
          <w:p w14:paraId="56F06FF3">
            <w:pPr>
              <w:pStyle w:val="26"/>
            </w:pPr>
            <w:r>
              <w:t>435</w:t>
            </w:r>
          </w:p>
        </w:tc>
        <w:tc>
          <w:tcPr>
            <w:tcW w:w="488" w:type="pct"/>
            <w:tcBorders>
              <w:top w:val="single" w:color="auto" w:sz="6" w:space="0"/>
            </w:tcBorders>
            <w:tcMar>
              <w:top w:w="0" w:type="dxa"/>
              <w:left w:w="0" w:type="dxa"/>
              <w:bottom w:w="0" w:type="dxa"/>
              <w:right w:w="0" w:type="dxa"/>
            </w:tcMar>
            <w:vAlign w:val="center"/>
          </w:tcPr>
          <w:p w14:paraId="6103B011">
            <w:pPr>
              <w:pStyle w:val="26"/>
            </w:pPr>
            <w:r>
              <w:t>0.19</w:t>
            </w:r>
          </w:p>
        </w:tc>
        <w:tc>
          <w:tcPr>
            <w:tcW w:w="1098" w:type="pct"/>
            <w:tcBorders>
              <w:top w:val="single" w:color="auto" w:sz="6" w:space="0"/>
            </w:tcBorders>
            <w:tcMar>
              <w:top w:w="0" w:type="dxa"/>
              <w:left w:w="0" w:type="dxa"/>
              <w:bottom w:w="0" w:type="dxa"/>
              <w:right w:w="0" w:type="dxa"/>
            </w:tcMar>
            <w:vAlign w:val="center"/>
          </w:tcPr>
          <w:p w14:paraId="65867781">
            <w:pPr>
              <w:pStyle w:val="26"/>
            </w:pPr>
            <w:r>
              <w:t>77.72</w:t>
            </w:r>
          </w:p>
        </w:tc>
      </w:tr>
      <w:tr w14:paraId="39BEBD23">
        <w:tblPrEx>
          <w:tblCellMar>
            <w:top w:w="15" w:type="dxa"/>
            <w:left w:w="15" w:type="dxa"/>
            <w:bottom w:w="15" w:type="dxa"/>
            <w:right w:w="15" w:type="dxa"/>
          </w:tblCellMar>
        </w:tblPrEx>
        <w:trPr>
          <w:trHeight w:val="288" w:hRule="atLeast"/>
          <w:jc w:val="center"/>
        </w:trPr>
        <w:tc>
          <w:tcPr>
            <w:tcW w:w="683" w:type="pct"/>
            <w:tcMar>
              <w:top w:w="0" w:type="dxa"/>
              <w:left w:w="0" w:type="dxa"/>
              <w:bottom w:w="0" w:type="dxa"/>
              <w:right w:w="0" w:type="dxa"/>
            </w:tcMar>
            <w:vAlign w:val="center"/>
          </w:tcPr>
          <w:p w14:paraId="07BDEF25">
            <w:pPr>
              <w:pStyle w:val="26"/>
            </w:pPr>
            <w:r>
              <w:t>实际值</w:t>
            </w:r>
          </w:p>
        </w:tc>
        <w:tc>
          <w:tcPr>
            <w:tcW w:w="463" w:type="pct"/>
            <w:tcMar>
              <w:top w:w="0" w:type="dxa"/>
              <w:left w:w="0" w:type="dxa"/>
              <w:bottom w:w="0" w:type="dxa"/>
              <w:right w:w="0" w:type="dxa"/>
            </w:tcMar>
            <w:vAlign w:val="center"/>
          </w:tcPr>
          <w:p w14:paraId="1C8C1451">
            <w:pPr>
              <w:pStyle w:val="26"/>
            </w:pPr>
            <w:r>
              <w:t>37.79</w:t>
            </w:r>
          </w:p>
        </w:tc>
        <w:tc>
          <w:tcPr>
            <w:tcW w:w="672" w:type="pct"/>
            <w:tcMar>
              <w:top w:w="0" w:type="dxa"/>
              <w:left w:w="0" w:type="dxa"/>
              <w:bottom w:w="0" w:type="dxa"/>
              <w:right w:w="0" w:type="dxa"/>
            </w:tcMar>
            <w:vAlign w:val="center"/>
          </w:tcPr>
          <w:p w14:paraId="44F431E8">
            <w:pPr>
              <w:pStyle w:val="26"/>
            </w:pPr>
            <w:r>
              <w:t>41.47</w:t>
            </w:r>
          </w:p>
        </w:tc>
        <w:tc>
          <w:tcPr>
            <w:tcW w:w="702" w:type="pct"/>
            <w:tcMar>
              <w:top w:w="0" w:type="dxa"/>
              <w:left w:w="0" w:type="dxa"/>
              <w:bottom w:w="0" w:type="dxa"/>
              <w:right w:w="0" w:type="dxa"/>
            </w:tcMar>
            <w:vAlign w:val="center"/>
          </w:tcPr>
          <w:p w14:paraId="672B59E2">
            <w:pPr>
              <w:pStyle w:val="26"/>
            </w:pPr>
            <w:r>
              <w:t>20.29</w:t>
            </w:r>
          </w:p>
        </w:tc>
        <w:tc>
          <w:tcPr>
            <w:tcW w:w="894" w:type="pct"/>
            <w:tcMar>
              <w:top w:w="0" w:type="dxa"/>
              <w:left w:w="0" w:type="dxa"/>
              <w:bottom w:w="0" w:type="dxa"/>
              <w:right w:w="0" w:type="dxa"/>
            </w:tcMar>
            <w:vAlign w:val="center"/>
          </w:tcPr>
          <w:p w14:paraId="052433AF">
            <w:pPr>
              <w:pStyle w:val="26"/>
            </w:pPr>
            <w:r>
              <w:t>398</w:t>
            </w:r>
          </w:p>
        </w:tc>
        <w:tc>
          <w:tcPr>
            <w:tcW w:w="488" w:type="pct"/>
            <w:tcMar>
              <w:top w:w="0" w:type="dxa"/>
              <w:left w:w="0" w:type="dxa"/>
              <w:bottom w:w="0" w:type="dxa"/>
              <w:right w:w="0" w:type="dxa"/>
            </w:tcMar>
            <w:vAlign w:val="center"/>
          </w:tcPr>
          <w:p w14:paraId="58DF685C">
            <w:pPr>
              <w:pStyle w:val="26"/>
            </w:pPr>
            <w:r>
              <w:t>0.17</w:t>
            </w:r>
          </w:p>
        </w:tc>
        <w:tc>
          <w:tcPr>
            <w:tcW w:w="1098" w:type="pct"/>
            <w:tcMar>
              <w:top w:w="0" w:type="dxa"/>
              <w:left w:w="0" w:type="dxa"/>
              <w:bottom w:w="0" w:type="dxa"/>
              <w:right w:w="0" w:type="dxa"/>
            </w:tcMar>
            <w:vAlign w:val="center"/>
          </w:tcPr>
          <w:p w14:paraId="0DB37C93">
            <w:pPr>
              <w:pStyle w:val="26"/>
            </w:pPr>
            <w:r>
              <w:t>79.26</w:t>
            </w:r>
          </w:p>
        </w:tc>
      </w:tr>
      <w:tr w14:paraId="3AE2DE28">
        <w:tblPrEx>
          <w:tblCellMar>
            <w:top w:w="15" w:type="dxa"/>
            <w:left w:w="15" w:type="dxa"/>
            <w:bottom w:w="15" w:type="dxa"/>
            <w:right w:w="15" w:type="dxa"/>
          </w:tblCellMar>
        </w:tblPrEx>
        <w:trPr>
          <w:trHeight w:val="288" w:hRule="atLeast"/>
          <w:jc w:val="center"/>
        </w:trPr>
        <w:tc>
          <w:tcPr>
            <w:tcW w:w="683" w:type="pct"/>
            <w:tcMar>
              <w:top w:w="0" w:type="dxa"/>
              <w:left w:w="0" w:type="dxa"/>
              <w:bottom w:w="0" w:type="dxa"/>
              <w:right w:w="0" w:type="dxa"/>
            </w:tcMar>
            <w:vAlign w:val="center"/>
          </w:tcPr>
          <w:p w14:paraId="656AC838">
            <w:pPr>
              <w:pStyle w:val="26"/>
            </w:pPr>
            <w:r>
              <w:t>绝对偏差</w:t>
            </w:r>
          </w:p>
        </w:tc>
        <w:tc>
          <w:tcPr>
            <w:tcW w:w="463" w:type="pct"/>
            <w:tcMar>
              <w:top w:w="0" w:type="dxa"/>
              <w:left w:w="0" w:type="dxa"/>
              <w:bottom w:w="0" w:type="dxa"/>
              <w:right w:w="0" w:type="dxa"/>
            </w:tcMar>
            <w:vAlign w:val="center"/>
          </w:tcPr>
          <w:p w14:paraId="4C900ABF">
            <w:pPr>
              <w:pStyle w:val="26"/>
            </w:pPr>
            <w:r>
              <w:t>-0.65</w:t>
            </w:r>
          </w:p>
        </w:tc>
        <w:tc>
          <w:tcPr>
            <w:tcW w:w="672" w:type="pct"/>
            <w:tcMar>
              <w:top w:w="0" w:type="dxa"/>
              <w:left w:w="0" w:type="dxa"/>
              <w:bottom w:w="0" w:type="dxa"/>
              <w:right w:w="0" w:type="dxa"/>
            </w:tcMar>
            <w:vAlign w:val="center"/>
          </w:tcPr>
          <w:p w14:paraId="4CF92BA2">
            <w:pPr>
              <w:pStyle w:val="26"/>
            </w:pPr>
            <w:r>
              <w:t>-0.9</w:t>
            </w:r>
          </w:p>
        </w:tc>
        <w:tc>
          <w:tcPr>
            <w:tcW w:w="702" w:type="pct"/>
            <w:tcMar>
              <w:top w:w="0" w:type="dxa"/>
              <w:left w:w="0" w:type="dxa"/>
              <w:bottom w:w="0" w:type="dxa"/>
              <w:right w:w="0" w:type="dxa"/>
            </w:tcMar>
            <w:vAlign w:val="center"/>
          </w:tcPr>
          <w:p w14:paraId="0E0BD56C">
            <w:pPr>
              <w:pStyle w:val="26"/>
            </w:pPr>
            <w:r>
              <w:t>1.23</w:t>
            </w:r>
          </w:p>
        </w:tc>
        <w:tc>
          <w:tcPr>
            <w:tcW w:w="894" w:type="pct"/>
            <w:tcMar>
              <w:top w:w="0" w:type="dxa"/>
              <w:left w:w="0" w:type="dxa"/>
              <w:bottom w:w="0" w:type="dxa"/>
              <w:right w:w="0" w:type="dxa"/>
            </w:tcMar>
            <w:vAlign w:val="center"/>
          </w:tcPr>
          <w:p w14:paraId="77075577">
            <w:pPr>
              <w:pStyle w:val="26"/>
            </w:pPr>
            <w:r>
              <w:t>37</w:t>
            </w:r>
          </w:p>
        </w:tc>
        <w:tc>
          <w:tcPr>
            <w:tcW w:w="488" w:type="pct"/>
            <w:tcMar>
              <w:top w:w="0" w:type="dxa"/>
              <w:left w:w="0" w:type="dxa"/>
              <w:bottom w:w="0" w:type="dxa"/>
              <w:right w:w="0" w:type="dxa"/>
            </w:tcMar>
            <w:vAlign w:val="center"/>
          </w:tcPr>
          <w:p w14:paraId="6F66B023">
            <w:pPr>
              <w:pStyle w:val="26"/>
            </w:pPr>
            <w:r>
              <w:t>0.02</w:t>
            </w:r>
          </w:p>
        </w:tc>
        <w:tc>
          <w:tcPr>
            <w:tcW w:w="1098" w:type="pct"/>
            <w:tcMar>
              <w:top w:w="0" w:type="dxa"/>
              <w:left w:w="0" w:type="dxa"/>
              <w:bottom w:w="0" w:type="dxa"/>
              <w:right w:w="0" w:type="dxa"/>
            </w:tcMar>
            <w:vAlign w:val="center"/>
          </w:tcPr>
          <w:p w14:paraId="51801CEF">
            <w:pPr>
              <w:pStyle w:val="26"/>
            </w:pPr>
            <w:r>
              <w:t>-1.54</w:t>
            </w:r>
          </w:p>
        </w:tc>
      </w:tr>
      <w:tr w14:paraId="1736F920">
        <w:tblPrEx>
          <w:tblCellMar>
            <w:top w:w="15" w:type="dxa"/>
            <w:left w:w="15" w:type="dxa"/>
            <w:bottom w:w="15" w:type="dxa"/>
            <w:right w:w="15" w:type="dxa"/>
          </w:tblCellMar>
        </w:tblPrEx>
        <w:trPr>
          <w:trHeight w:val="288" w:hRule="atLeast"/>
          <w:jc w:val="center"/>
        </w:trPr>
        <w:tc>
          <w:tcPr>
            <w:tcW w:w="683" w:type="pct"/>
            <w:tcBorders>
              <w:bottom w:val="single" w:color="auto" w:sz="12" w:space="0"/>
            </w:tcBorders>
            <w:tcMar>
              <w:top w:w="0" w:type="dxa"/>
              <w:left w:w="0" w:type="dxa"/>
              <w:bottom w:w="0" w:type="dxa"/>
              <w:right w:w="0" w:type="dxa"/>
            </w:tcMar>
            <w:vAlign w:val="center"/>
          </w:tcPr>
          <w:p w14:paraId="2C717C80">
            <w:pPr>
              <w:pStyle w:val="26"/>
            </w:pPr>
            <w:r>
              <w:t>相对偏差/%</w:t>
            </w:r>
          </w:p>
        </w:tc>
        <w:tc>
          <w:tcPr>
            <w:tcW w:w="463" w:type="pct"/>
            <w:tcBorders>
              <w:bottom w:val="single" w:color="auto" w:sz="12" w:space="0"/>
            </w:tcBorders>
            <w:tcMar>
              <w:top w:w="0" w:type="dxa"/>
              <w:left w:w="0" w:type="dxa"/>
              <w:bottom w:w="0" w:type="dxa"/>
              <w:right w:w="0" w:type="dxa"/>
            </w:tcMar>
            <w:vAlign w:val="center"/>
          </w:tcPr>
          <w:p w14:paraId="18C1F76B">
            <w:pPr>
              <w:pStyle w:val="26"/>
            </w:pPr>
            <w:r>
              <w:t>1.72</w:t>
            </w:r>
          </w:p>
        </w:tc>
        <w:tc>
          <w:tcPr>
            <w:tcW w:w="672" w:type="pct"/>
            <w:tcBorders>
              <w:bottom w:val="single" w:color="auto" w:sz="12" w:space="0"/>
            </w:tcBorders>
            <w:tcMar>
              <w:top w:w="0" w:type="dxa"/>
              <w:left w:w="0" w:type="dxa"/>
              <w:bottom w:w="0" w:type="dxa"/>
              <w:right w:w="0" w:type="dxa"/>
            </w:tcMar>
            <w:vAlign w:val="center"/>
          </w:tcPr>
          <w:p w14:paraId="643D9132">
            <w:pPr>
              <w:pStyle w:val="26"/>
            </w:pPr>
            <w:r>
              <w:t>2.17</w:t>
            </w:r>
          </w:p>
        </w:tc>
        <w:tc>
          <w:tcPr>
            <w:tcW w:w="702" w:type="pct"/>
            <w:tcBorders>
              <w:bottom w:val="single" w:color="auto" w:sz="12" w:space="0"/>
            </w:tcBorders>
            <w:tcMar>
              <w:top w:w="0" w:type="dxa"/>
              <w:left w:w="0" w:type="dxa"/>
              <w:bottom w:w="0" w:type="dxa"/>
              <w:right w:w="0" w:type="dxa"/>
            </w:tcMar>
            <w:vAlign w:val="center"/>
          </w:tcPr>
          <w:p w14:paraId="28F81663">
            <w:pPr>
              <w:pStyle w:val="26"/>
            </w:pPr>
            <w:r>
              <w:t>6.06</w:t>
            </w:r>
          </w:p>
        </w:tc>
        <w:tc>
          <w:tcPr>
            <w:tcW w:w="894" w:type="pct"/>
            <w:tcBorders>
              <w:bottom w:val="single" w:color="auto" w:sz="12" w:space="0"/>
            </w:tcBorders>
            <w:tcMar>
              <w:top w:w="0" w:type="dxa"/>
              <w:left w:w="0" w:type="dxa"/>
              <w:bottom w:w="0" w:type="dxa"/>
              <w:right w:w="0" w:type="dxa"/>
            </w:tcMar>
            <w:vAlign w:val="center"/>
          </w:tcPr>
          <w:p w14:paraId="507FAB08">
            <w:pPr>
              <w:pStyle w:val="26"/>
            </w:pPr>
            <w:r>
              <w:t>9.30</w:t>
            </w:r>
          </w:p>
        </w:tc>
        <w:tc>
          <w:tcPr>
            <w:tcW w:w="488" w:type="pct"/>
            <w:tcBorders>
              <w:bottom w:val="single" w:color="auto" w:sz="12" w:space="0"/>
            </w:tcBorders>
            <w:tcMar>
              <w:top w:w="0" w:type="dxa"/>
              <w:left w:w="0" w:type="dxa"/>
              <w:bottom w:w="0" w:type="dxa"/>
              <w:right w:w="0" w:type="dxa"/>
            </w:tcMar>
            <w:vAlign w:val="center"/>
          </w:tcPr>
          <w:p w14:paraId="4CD12E4B">
            <w:pPr>
              <w:pStyle w:val="26"/>
            </w:pPr>
            <w:r>
              <w:t>11.76</w:t>
            </w:r>
          </w:p>
        </w:tc>
        <w:tc>
          <w:tcPr>
            <w:tcW w:w="1098" w:type="pct"/>
            <w:tcBorders>
              <w:bottom w:val="single" w:color="auto" w:sz="12" w:space="0"/>
            </w:tcBorders>
            <w:tcMar>
              <w:top w:w="0" w:type="dxa"/>
              <w:left w:w="0" w:type="dxa"/>
              <w:bottom w:w="0" w:type="dxa"/>
              <w:right w:w="0" w:type="dxa"/>
            </w:tcMar>
            <w:vAlign w:val="center"/>
          </w:tcPr>
          <w:p w14:paraId="0FE9CBAA">
            <w:pPr>
              <w:pStyle w:val="26"/>
            </w:pPr>
            <w:r>
              <w:t>1.94</w:t>
            </w:r>
          </w:p>
        </w:tc>
      </w:tr>
    </w:tbl>
    <w:p w14:paraId="32FFF53A">
      <w:pPr>
        <w:pStyle w:val="23"/>
        <w:ind w:firstLine="480"/>
        <w:rPr>
          <w:rFonts w:cs="Times New Roman"/>
        </w:rPr>
      </w:pPr>
      <w:r>
        <w:rPr>
          <w:rFonts w:cs="Times New Roman"/>
        </w:rPr>
        <w:t>2010年6月，神华10万吨CCS示范项目开工建设，历时半年，完成了捕集液化区、贮存装卸区及封存区的建设。自2011年1月2日和1月6日成功将121t超临界状态液体CO</w:t>
      </w:r>
      <w:r>
        <w:rPr>
          <w:rFonts w:cs="Times New Roman"/>
          <w:vertAlign w:val="subscript"/>
        </w:rPr>
        <w:t>2</w:t>
      </w:r>
      <w:r>
        <w:rPr>
          <w:rFonts w:cs="Times New Roman"/>
        </w:rPr>
        <w:t>注入山西组地层和非压裂的石盒子地层以来，神华CCS项目注入量不断增加。2011年1月投产试注成功并实现连续注入与监测。目前，项目已完成实现总注入量30万吨的建设目标，取得了良好的示范效果。该项目的CO</w:t>
      </w:r>
      <w:r>
        <w:rPr>
          <w:rFonts w:cs="Times New Roman"/>
          <w:vertAlign w:val="subscript"/>
        </w:rPr>
        <w:t>2</w:t>
      </w:r>
      <w:r>
        <w:rPr>
          <w:rFonts w:cs="Times New Roman"/>
        </w:rPr>
        <w:t>捕集装置由中国化学工程集团公司所属的五环工程有限公司承担设计，捕集装置的生产规模为10万吨/年，CO</w:t>
      </w:r>
      <w:r>
        <w:rPr>
          <w:rFonts w:cs="Times New Roman"/>
          <w:vertAlign w:val="subscript"/>
        </w:rPr>
        <w:t>2</w:t>
      </w:r>
      <w:r>
        <w:rPr>
          <w:rFonts w:cs="Times New Roman"/>
        </w:rPr>
        <w:t>纯度为99.2%。根据目前的设计注入规模，采用低温液体槽车运输。该示范工程利用鄂尔多斯煤气化制氢装置排放的CO</w:t>
      </w:r>
      <w:r>
        <w:rPr>
          <w:rFonts w:cs="Times New Roman"/>
          <w:vertAlign w:val="subscript"/>
        </w:rPr>
        <w:t>2</w:t>
      </w:r>
      <w:r>
        <w:rPr>
          <w:rFonts w:cs="Times New Roman"/>
        </w:rPr>
        <w:t>尾气，经捕集、提纯、液化后，由槽车运送至封存地点后加压升温，以超临界状态注入到深部咸水层。</w:t>
      </w:r>
    </w:p>
    <w:p w14:paraId="75262079">
      <w:pPr>
        <w:pStyle w:val="4"/>
        <w:spacing w:before="156" w:after="156"/>
      </w:pPr>
      <w:bookmarkStart w:id="16" w:name="_Toc184600171"/>
      <w:r>
        <w:rPr>
          <w:rFonts w:hint="eastAsia"/>
        </w:rPr>
        <w:t>煤炭液化</w:t>
      </w:r>
      <w:bookmarkEnd w:id="16"/>
    </w:p>
    <w:p w14:paraId="4B26AAFE">
      <w:pPr>
        <w:pStyle w:val="23"/>
        <w:ind w:firstLine="480"/>
        <w:rPr>
          <w:rFonts w:cs="Times New Roman"/>
        </w:rPr>
      </w:pPr>
      <w:r>
        <w:rPr>
          <w:rFonts w:cs="Times New Roman"/>
        </w:rPr>
        <w:t>煤炭直接液化技术又称为煤炭的加氢液化技术，是指在高温高压及溶剂和催化剂存在的条件下，对煤加氢裂解直接转化为液化油的工艺过程。煤炭直接液化技术始于上个世纪20年代，至今已开发出的煤加氢液化工艺有10多种，其中典型工艺有日本NEDOL工艺等。</w:t>
      </w:r>
    </w:p>
    <w:p w14:paraId="257AAB97">
      <w:pPr>
        <w:pStyle w:val="23"/>
        <w:keepNext/>
        <w:ind w:firstLine="0" w:firstLineChars="0"/>
        <w:jc w:val="center"/>
        <w:rPr>
          <w:rStyle w:val="31"/>
          <w:rFonts w:cs="Times New Roman"/>
        </w:rPr>
      </w:pPr>
      <w:r>
        <w:rPr>
          <w:rFonts w:cs="Times New Roman"/>
        </w:rPr>
        <w:object>
          <v:shape id="_x0000_i1029" o:spt="75" type="#_x0000_t75" style="height:180pt;width:439.5pt;" o:ole="t" filled="f" o:preferrelative="t" stroked="f" coordsize="21600,21600">
            <v:path/>
            <v:fill on="f" focussize="0,0"/>
            <v:stroke on="f" joinstyle="miter"/>
            <v:imagedata r:id="rId17" cropleft="15091f" croptop="21684f" cropright="32184f" cropbottom="21458f" o:title=""/>
            <o:lock v:ext="edit" aspectratio="t"/>
            <w10:wrap type="none"/>
            <w10:anchorlock/>
          </v:shape>
          <o:OLEObject Type="Embed" ProgID="AutoCAD.Drawing.24" ShapeID="_x0000_i1029" DrawAspect="Content" ObjectID="_1468075729" r:id="rId16">
            <o:LockedField>false</o:LockedField>
          </o:OLEObject>
        </w:object>
      </w:r>
      <w:r>
        <w:rPr>
          <w:rStyle w:val="31"/>
          <w:rFonts w:cs="Times New Roman"/>
        </w:rPr>
        <w:t>图</w:t>
      </w:r>
      <w:r>
        <w:rPr>
          <w:rStyle w:val="31"/>
          <w:rFonts w:cs="Times New Roman"/>
        </w:rPr>
        <w:fldChar w:fldCharType="begin"/>
      </w:r>
      <w:r>
        <w:rPr>
          <w:rStyle w:val="31"/>
          <w:rFonts w:cs="Times New Roman"/>
        </w:rPr>
        <w:instrText xml:space="preserve"> SEQ 图 \* ARABIC </w:instrText>
      </w:r>
      <w:r>
        <w:rPr>
          <w:rStyle w:val="31"/>
          <w:rFonts w:cs="Times New Roman"/>
        </w:rPr>
        <w:fldChar w:fldCharType="separate"/>
      </w:r>
      <w:r>
        <w:rPr>
          <w:rStyle w:val="31"/>
          <w:rFonts w:cs="Times New Roman"/>
        </w:rPr>
        <w:t>5</w:t>
      </w:r>
      <w:r>
        <w:rPr>
          <w:rStyle w:val="31"/>
          <w:rFonts w:cs="Times New Roman"/>
        </w:rPr>
        <w:fldChar w:fldCharType="end"/>
      </w:r>
      <w:r>
        <w:rPr>
          <w:rStyle w:val="31"/>
          <w:rFonts w:cs="Times New Roman"/>
        </w:rPr>
        <w:t xml:space="preserve"> 日本NEDOL工艺流程</w:t>
      </w:r>
    </w:p>
    <w:p w14:paraId="6E15871C">
      <w:pPr>
        <w:pStyle w:val="23"/>
        <w:ind w:firstLine="480"/>
        <w:rPr>
          <w:rFonts w:cs="Times New Roman"/>
        </w:rPr>
      </w:pPr>
      <w:r>
        <w:rPr>
          <w:rFonts w:cs="Times New Roman"/>
        </w:rPr>
        <w:t>神华集团从2002年开始建设煤炭直接液化示范工程，利用煤炭为原料生产液化气、石脑油、柴油等液体产品。该示范工程包括锅炉、蒸汽发电、循环水场等公用工程设施，包括空分、煤制氢等生产氢气原料的装置，包括备煤、催化剂制备、煤液化、加氢稳定、加氢改质等煤炭制油品装置，也包括产品净化装置和环保装置。采用干煤粉气化生产煤炭加氢液化所需要的氢气，同时排出高浓度CO</w:t>
      </w:r>
      <w:r>
        <w:rPr>
          <w:rFonts w:cs="Times New Roman"/>
          <w:vertAlign w:val="subscript"/>
        </w:rPr>
        <w:t>2</w:t>
      </w:r>
      <w:r>
        <w:rPr>
          <w:rFonts w:cs="Times New Roman"/>
        </w:rPr>
        <w:t>气体，而煤炭直接液化示范工程附近也具备了CCS的地质条件。</w:t>
      </w:r>
    </w:p>
    <w:p w14:paraId="52B8B9D7">
      <w:pPr>
        <w:pStyle w:val="4"/>
        <w:spacing w:before="156" w:after="156"/>
      </w:pPr>
      <w:bookmarkStart w:id="17" w:name="_Toc184600172"/>
      <w:r>
        <w:rPr>
          <w:rFonts w:hint="eastAsia"/>
        </w:rPr>
        <w:t>煤化工碳捕集项目现状与应用潜力</w:t>
      </w:r>
      <w:bookmarkEnd w:id="17"/>
    </w:p>
    <w:p w14:paraId="2C685CDE">
      <w:pPr>
        <w:pStyle w:val="23"/>
        <w:ind w:firstLine="482"/>
        <w:rPr>
          <w:rFonts w:cs="Times New Roman"/>
          <w:b/>
          <w:bCs/>
        </w:rPr>
      </w:pPr>
      <w:r>
        <w:rPr>
          <w:rFonts w:cs="Times New Roman"/>
          <w:b/>
          <w:bCs/>
        </w:rPr>
        <w:t>煤化工</w:t>
      </w:r>
      <w:r>
        <w:rPr>
          <w:rFonts w:hint="eastAsia" w:cs="Times New Roman"/>
          <w:b/>
          <w:bCs/>
        </w:rPr>
        <w:t>碳捕集项目现状</w:t>
      </w:r>
      <w:r>
        <w:rPr>
          <w:rFonts w:cs="Times New Roman"/>
          <w:b/>
          <w:bCs/>
        </w:rPr>
        <w:t>：</w:t>
      </w:r>
    </w:p>
    <w:p w14:paraId="3ABF72A9">
      <w:pPr>
        <w:pStyle w:val="23"/>
        <w:ind w:firstLine="480"/>
        <w:rPr>
          <w:rFonts w:cs="Times New Roman"/>
        </w:rPr>
      </w:pPr>
      <w:r>
        <w:rPr>
          <w:rFonts w:cs="Times New Roman"/>
        </w:rPr>
        <w:t>煤化工同CCUS具有很好的耦合性，具体体现在碳排放源集中、捕集工艺成熟成本低、地质利用和封存条件好、具有化工和生物利用条件，以及具备开展大规模示范以及园区化集群化的早期机会。</w:t>
      </w:r>
    </w:p>
    <w:p w14:paraId="5D9E9835">
      <w:pPr>
        <w:pStyle w:val="23"/>
        <w:ind w:firstLine="480"/>
        <w:rPr>
          <w:rFonts w:cs="Times New Roman"/>
        </w:rPr>
      </w:pPr>
      <w:r>
        <w:rPr>
          <w:rFonts w:cs="Times New Roman"/>
        </w:rPr>
        <w:t>（1）排放源集中。我国煤化工主要集中在内蒙古、陕西、新疆和山西等煤炭产区，且已形成了20个规模以上的煤化工产业园区，园区化作为现代煤化工行业公认的理想路径，是未来的主流趋势，园区化发展将使排放源进一步集中。我国煤化工CO</w:t>
      </w:r>
      <w:r>
        <w:rPr>
          <w:rFonts w:cs="Times New Roman"/>
          <w:vertAlign w:val="subscript"/>
        </w:rPr>
        <w:t>2</w:t>
      </w:r>
      <w:r>
        <w:rPr>
          <w:rFonts w:cs="Times New Roman"/>
        </w:rPr>
        <w:t>源也主要分布在这些煤化工基地。</w:t>
      </w:r>
    </w:p>
    <w:p w14:paraId="284208CA">
      <w:pPr>
        <w:pStyle w:val="23"/>
        <w:ind w:firstLine="480"/>
        <w:rPr>
          <w:rFonts w:cs="Times New Roman"/>
        </w:rPr>
      </w:pPr>
      <w:r>
        <w:rPr>
          <w:rFonts w:cs="Times New Roman"/>
        </w:rPr>
        <w:t>（2）捕集工艺成熟。自1972年以来，全球商业CCUS最先在化工、乙醇、化肥、天然气等高浓度行业开展，随着技术的不断成熟，在制氢、燃煤电厂、水泥等行业陆续实施，在2014年全球首个煤电厂商业CCUS项目投运之前，已有16个商业CCUS项目在化工、乙醇、化肥、天然气等高浓度行业开展，我国的煤化工捕集工艺也较为成熟，当前已经开展了数个煤化工捕集示范项目。另外，现代煤化工CO</w:t>
      </w:r>
      <w:r>
        <w:rPr>
          <w:rFonts w:cs="Times New Roman"/>
          <w:vertAlign w:val="subscript"/>
        </w:rPr>
        <w:t>2</w:t>
      </w:r>
      <w:r>
        <w:rPr>
          <w:rFonts w:cs="Times New Roman"/>
        </w:rPr>
        <w:t>的主要排放工序为净化（低温甲醇洗）、排放尾气和锅炉烟气，其中净化尾气的CO</w:t>
      </w:r>
      <w:r>
        <w:rPr>
          <w:rFonts w:cs="Times New Roman"/>
          <w:vertAlign w:val="subscript"/>
        </w:rPr>
        <w:t>2</w:t>
      </w:r>
      <w:r>
        <w:rPr>
          <w:rFonts w:cs="Times New Roman"/>
        </w:rPr>
        <w:t>浓度可达70%以上，部分情况下可超过99%，高浓度排放源使捕集成本相对较低，据估计合成氨行业CO</w:t>
      </w:r>
      <w:r>
        <w:rPr>
          <w:rFonts w:cs="Times New Roman"/>
          <w:vertAlign w:val="subscript"/>
        </w:rPr>
        <w:t>2</w:t>
      </w:r>
      <w:r>
        <w:rPr>
          <w:rFonts w:cs="Times New Roman"/>
        </w:rPr>
        <w:t>捕集成本约80元/吨，而其他行业（如水泥、电力）则超过200元/吨。</w:t>
      </w:r>
    </w:p>
    <w:p w14:paraId="0857F791">
      <w:pPr>
        <w:pStyle w:val="23"/>
        <w:ind w:firstLine="480"/>
        <w:rPr>
          <w:rFonts w:cs="Times New Roman"/>
        </w:rPr>
      </w:pPr>
      <w:r>
        <w:rPr>
          <w:rFonts w:cs="Times New Roman"/>
        </w:rPr>
        <w:t>（3）地质利用与封存条件好。我国的石油化工和煤化工，在地理位置分布上，大多靠近油田，且依靠油田提供原材料，同时排放高浓度CO</w:t>
      </w:r>
      <w:r>
        <w:rPr>
          <w:rFonts w:cs="Times New Roman"/>
          <w:vertAlign w:val="subscript"/>
        </w:rPr>
        <w:t>2</w:t>
      </w:r>
      <w:r>
        <w:rPr>
          <w:rFonts w:cs="Times New Roman"/>
        </w:rPr>
        <w:t>，通过CO</w:t>
      </w:r>
      <w:r>
        <w:rPr>
          <w:rFonts w:cs="Times New Roman"/>
          <w:vertAlign w:val="subscript"/>
        </w:rPr>
        <w:t>2</w:t>
      </w:r>
      <w:r>
        <w:rPr>
          <w:rFonts w:cs="Times New Roman"/>
        </w:rPr>
        <w:t>驱油、煤层气、水、矿等利用方式与化工结合，能够实现CO</w:t>
      </w:r>
      <w:r>
        <w:rPr>
          <w:rFonts w:cs="Times New Roman"/>
          <w:vertAlign w:val="subscript"/>
        </w:rPr>
        <w:t>2</w:t>
      </w:r>
      <w:r>
        <w:rPr>
          <w:rFonts w:cs="Times New Roman"/>
        </w:rPr>
        <w:t>低成本减排，同时促进原料增产，甚至可以缓解高耗水化工的供水紧张。以CO</w:t>
      </w:r>
      <w:r>
        <w:rPr>
          <w:rFonts w:cs="Times New Roman"/>
          <w:vertAlign w:val="subscript"/>
        </w:rPr>
        <w:t>2</w:t>
      </w:r>
      <w:r>
        <w:rPr>
          <w:rFonts w:cs="Times New Roman"/>
        </w:rPr>
        <w:t>作为介质进行地热能开发能产出纯净的高温CO</w:t>
      </w:r>
      <w:r>
        <w:rPr>
          <w:rFonts w:cs="Times New Roman"/>
          <w:vertAlign w:val="subscript"/>
        </w:rPr>
        <w:t>2</w:t>
      </w:r>
      <w:r>
        <w:rPr>
          <w:rFonts w:cs="Times New Roman"/>
        </w:rPr>
        <w:t>作为化工生产所需的原料，可减少或免去热电机组或锅炉房供热，极大地降低化工生产的能耗及成本，也减少了CO</w:t>
      </w:r>
      <w:r>
        <w:rPr>
          <w:rFonts w:cs="Times New Roman"/>
          <w:vertAlign w:val="subscript"/>
        </w:rPr>
        <w:t>2</w:t>
      </w:r>
      <w:r>
        <w:rPr>
          <w:rFonts w:cs="Times New Roman"/>
        </w:rPr>
        <w:t>的排放。山西、山东、河南、河北等地可优先开展油气田封存，通过驱油采气等降低碳排放成本；</w:t>
      </w:r>
      <w:r>
        <w:rPr>
          <w:rFonts w:cs="Times New Roman"/>
          <w:lang w:val="sv-SE"/>
        </w:rPr>
        <w:t>西北、华北等</w:t>
      </w:r>
      <w:r>
        <w:rPr>
          <w:rFonts w:cs="Times New Roman"/>
        </w:rPr>
        <w:t>重工业发达且干旱</w:t>
      </w:r>
      <w:r>
        <w:rPr>
          <w:rFonts w:cs="Times New Roman"/>
          <w:lang w:val="sv-SE"/>
        </w:rPr>
        <w:t>的地区，</w:t>
      </w:r>
      <w:r>
        <w:rPr>
          <w:rFonts w:cs="Times New Roman"/>
        </w:rPr>
        <w:t>CO</w:t>
      </w:r>
      <w:r>
        <w:rPr>
          <w:rFonts w:cs="Times New Roman"/>
          <w:vertAlign w:val="subscript"/>
        </w:rPr>
        <w:t>2</w:t>
      </w:r>
      <w:r>
        <w:rPr>
          <w:rFonts w:cs="Times New Roman"/>
        </w:rPr>
        <w:t>减排任务艰巨且供水紧张，具有部署现代煤化工CO</w:t>
      </w:r>
      <w:r>
        <w:rPr>
          <w:rFonts w:cs="Times New Roman"/>
          <w:vertAlign w:val="subscript"/>
        </w:rPr>
        <w:t>2</w:t>
      </w:r>
      <w:r>
        <w:rPr>
          <w:rFonts w:cs="Times New Roman"/>
        </w:rPr>
        <w:t>-EWR项目的早期机会和长远需求，如内蒙古、陕北等可在鄂尔多斯盆地开展咸水层封存；新疆以及我国东北地区具有较好潜力的咸水层与油田</w:t>
      </w:r>
      <w:r>
        <w:rPr>
          <w:rFonts w:hint="eastAsia" w:cs="Times New Roman"/>
        </w:rPr>
        <w:t>（如下表）</w:t>
      </w:r>
      <w:r>
        <w:rPr>
          <w:rFonts w:cs="Times New Roman"/>
        </w:rPr>
        <w:t>。</w:t>
      </w:r>
    </w:p>
    <w:p w14:paraId="55E8D795">
      <w:pPr>
        <w:pStyle w:val="23"/>
        <w:ind w:firstLine="480"/>
        <w:rPr>
          <w:rFonts w:cs="Times New Roman"/>
        </w:rPr>
        <w:sectPr>
          <w:footerReference r:id="rId5" w:type="default"/>
          <w:pgSz w:w="11906" w:h="16838"/>
          <w:pgMar w:top="1440" w:right="1800" w:bottom="1440" w:left="1800" w:header="851" w:footer="992" w:gutter="0"/>
          <w:pgNumType w:start="1"/>
          <w:cols w:space="425" w:num="1"/>
          <w:docGrid w:type="lines" w:linePitch="312" w:charSpace="0"/>
        </w:sectPr>
      </w:pPr>
    </w:p>
    <w:p w14:paraId="5951DA7A">
      <w:pPr>
        <w:pStyle w:val="28"/>
        <w:rPr>
          <w:rFonts w:cs="Times New Roman"/>
        </w:rPr>
      </w:pPr>
      <w:r>
        <w:rPr>
          <w:rFonts w:cs="Times New Roman"/>
        </w:rPr>
        <w:t>表</w:t>
      </w:r>
      <w:r>
        <w:rPr>
          <w:rFonts w:cs="Times New Roman"/>
        </w:rPr>
        <w:fldChar w:fldCharType="begin"/>
      </w:r>
      <w:r>
        <w:rPr>
          <w:rFonts w:cs="Times New Roman"/>
        </w:rPr>
        <w:instrText xml:space="preserve"> SEQ 表 \* ARABIC </w:instrText>
      </w:r>
      <w:r>
        <w:rPr>
          <w:rFonts w:cs="Times New Roman"/>
        </w:rPr>
        <w:fldChar w:fldCharType="separate"/>
      </w:r>
      <w:r>
        <w:rPr>
          <w:rFonts w:cs="Times New Roman"/>
        </w:rPr>
        <w:t>8</w:t>
      </w:r>
      <w:r>
        <w:rPr>
          <w:rFonts w:cs="Times New Roman"/>
        </w:rPr>
        <w:fldChar w:fldCharType="end"/>
      </w:r>
      <w:r>
        <w:rPr>
          <w:rFonts w:cs="Times New Roman"/>
        </w:rPr>
        <w:t xml:space="preserve"> 煤化工CCUS工程项目</w:t>
      </w:r>
    </w:p>
    <w:tbl>
      <w:tblPr>
        <w:tblStyle w:val="16"/>
        <w:tblW w:w="5000" w:type="pct"/>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565"/>
        <w:gridCol w:w="799"/>
        <w:gridCol w:w="865"/>
        <w:gridCol w:w="1477"/>
        <w:gridCol w:w="791"/>
        <w:gridCol w:w="870"/>
        <w:gridCol w:w="2106"/>
        <w:gridCol w:w="1273"/>
        <w:gridCol w:w="1278"/>
        <w:gridCol w:w="1239"/>
        <w:gridCol w:w="743"/>
        <w:gridCol w:w="1168"/>
      </w:tblGrid>
      <w:tr w14:paraId="7978E287">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jc w:val="center"/>
        </w:trPr>
        <w:tc>
          <w:tcPr>
            <w:tcW w:w="552" w:type="pct"/>
            <w:vMerge w:val="restart"/>
            <w:tcBorders>
              <w:top w:val="single" w:color="auto" w:sz="12" w:space="0"/>
              <w:bottom w:val="nil"/>
            </w:tcBorders>
            <w:vAlign w:val="center"/>
          </w:tcPr>
          <w:p w14:paraId="34376D56">
            <w:pPr>
              <w:pStyle w:val="26"/>
            </w:pPr>
            <w:r>
              <w:t>项目名称</w:t>
            </w:r>
          </w:p>
        </w:tc>
        <w:tc>
          <w:tcPr>
            <w:tcW w:w="282" w:type="pct"/>
            <w:vMerge w:val="restart"/>
            <w:tcBorders>
              <w:top w:val="single" w:color="auto" w:sz="12" w:space="0"/>
              <w:bottom w:val="nil"/>
            </w:tcBorders>
            <w:vAlign w:val="center"/>
          </w:tcPr>
          <w:p w14:paraId="4D6A4F1D">
            <w:pPr>
              <w:pStyle w:val="26"/>
            </w:pPr>
            <w:r>
              <w:t>所在省市</w:t>
            </w:r>
          </w:p>
        </w:tc>
        <w:tc>
          <w:tcPr>
            <w:tcW w:w="3492" w:type="pct"/>
            <w:gridSpan w:val="8"/>
            <w:tcBorders>
              <w:top w:val="single" w:color="auto" w:sz="12" w:space="0"/>
              <w:bottom w:val="single" w:color="auto" w:sz="12" w:space="0"/>
            </w:tcBorders>
            <w:vAlign w:val="center"/>
          </w:tcPr>
          <w:p w14:paraId="0269E155">
            <w:pPr>
              <w:pStyle w:val="26"/>
            </w:pPr>
            <w:r>
              <w:t>捕集利用与封存</w:t>
            </w:r>
          </w:p>
        </w:tc>
        <w:tc>
          <w:tcPr>
            <w:tcW w:w="262" w:type="pct"/>
            <w:vMerge w:val="restart"/>
            <w:tcBorders>
              <w:top w:val="single" w:color="auto" w:sz="12" w:space="0"/>
              <w:bottom w:val="single" w:color="auto" w:sz="8" w:space="0"/>
            </w:tcBorders>
            <w:vAlign w:val="center"/>
          </w:tcPr>
          <w:p w14:paraId="32F62C88">
            <w:pPr>
              <w:pStyle w:val="26"/>
            </w:pPr>
            <w:r>
              <w:t>投运年份</w:t>
            </w:r>
          </w:p>
        </w:tc>
        <w:tc>
          <w:tcPr>
            <w:tcW w:w="412" w:type="pct"/>
            <w:vMerge w:val="restart"/>
            <w:tcBorders>
              <w:top w:val="single" w:color="auto" w:sz="12" w:space="0"/>
              <w:bottom w:val="single" w:color="auto" w:sz="8" w:space="0"/>
            </w:tcBorders>
            <w:vAlign w:val="center"/>
          </w:tcPr>
          <w:p w14:paraId="29172F28">
            <w:pPr>
              <w:pStyle w:val="26"/>
            </w:pPr>
            <w:r>
              <w:t>2022年状态</w:t>
            </w:r>
          </w:p>
        </w:tc>
      </w:tr>
      <w:tr w14:paraId="76972BBE">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8" w:hRule="atLeast"/>
          <w:jc w:val="center"/>
        </w:trPr>
        <w:tc>
          <w:tcPr>
            <w:tcW w:w="552" w:type="pct"/>
            <w:vMerge w:val="continue"/>
            <w:tcBorders>
              <w:top w:val="nil"/>
              <w:bottom w:val="single" w:color="auto" w:sz="8" w:space="0"/>
            </w:tcBorders>
            <w:vAlign w:val="center"/>
          </w:tcPr>
          <w:p w14:paraId="2D973C72">
            <w:pPr>
              <w:pStyle w:val="26"/>
            </w:pPr>
          </w:p>
        </w:tc>
        <w:tc>
          <w:tcPr>
            <w:tcW w:w="282" w:type="pct"/>
            <w:vMerge w:val="continue"/>
            <w:tcBorders>
              <w:top w:val="nil"/>
              <w:bottom w:val="single" w:color="auto" w:sz="8" w:space="0"/>
            </w:tcBorders>
            <w:vAlign w:val="center"/>
          </w:tcPr>
          <w:p w14:paraId="1DF6AE5E">
            <w:pPr>
              <w:pStyle w:val="26"/>
            </w:pPr>
          </w:p>
        </w:tc>
        <w:tc>
          <w:tcPr>
            <w:tcW w:w="305" w:type="pct"/>
            <w:tcBorders>
              <w:top w:val="single" w:color="auto" w:sz="12" w:space="0"/>
              <w:bottom w:val="single" w:color="auto" w:sz="8" w:space="0"/>
            </w:tcBorders>
            <w:vAlign w:val="center"/>
          </w:tcPr>
          <w:p w14:paraId="1B8C1488">
            <w:pPr>
              <w:pStyle w:val="26"/>
            </w:pPr>
            <w:r>
              <w:t>捕集工业类型</w:t>
            </w:r>
          </w:p>
        </w:tc>
        <w:tc>
          <w:tcPr>
            <w:tcW w:w="521" w:type="pct"/>
            <w:tcBorders>
              <w:top w:val="single" w:color="auto" w:sz="12" w:space="0"/>
              <w:bottom w:val="single" w:color="auto" w:sz="8" w:space="0"/>
            </w:tcBorders>
            <w:vAlign w:val="center"/>
          </w:tcPr>
          <w:p w14:paraId="67FC6AB6">
            <w:pPr>
              <w:pStyle w:val="26"/>
            </w:pPr>
            <w:r>
              <w:t>经营主体/捕集源</w:t>
            </w:r>
          </w:p>
        </w:tc>
        <w:tc>
          <w:tcPr>
            <w:tcW w:w="279" w:type="pct"/>
            <w:tcBorders>
              <w:top w:val="single" w:color="auto" w:sz="12" w:space="0"/>
              <w:bottom w:val="single" w:color="auto" w:sz="8" w:space="0"/>
            </w:tcBorders>
            <w:vAlign w:val="center"/>
          </w:tcPr>
          <w:p w14:paraId="5996C8FE">
            <w:pPr>
              <w:pStyle w:val="26"/>
            </w:pPr>
            <w:r>
              <w:t>捕集技术</w:t>
            </w:r>
          </w:p>
        </w:tc>
        <w:tc>
          <w:tcPr>
            <w:tcW w:w="307" w:type="pct"/>
            <w:tcBorders>
              <w:top w:val="single" w:color="auto" w:sz="12" w:space="0"/>
              <w:bottom w:val="single" w:color="auto" w:sz="8" w:space="0"/>
            </w:tcBorders>
            <w:vAlign w:val="center"/>
          </w:tcPr>
          <w:p w14:paraId="08A9A24D">
            <w:pPr>
              <w:pStyle w:val="26"/>
            </w:pPr>
            <w:r>
              <w:t>捕集规模（万吨/年）</w:t>
            </w:r>
          </w:p>
        </w:tc>
        <w:tc>
          <w:tcPr>
            <w:tcW w:w="743" w:type="pct"/>
            <w:tcBorders>
              <w:top w:val="single" w:color="auto" w:sz="12" w:space="0"/>
              <w:bottom w:val="single" w:color="auto" w:sz="8" w:space="0"/>
            </w:tcBorders>
            <w:vAlign w:val="center"/>
          </w:tcPr>
          <w:p w14:paraId="6EC41845">
            <w:pPr>
              <w:pStyle w:val="26"/>
            </w:pPr>
            <w:r>
              <w:t>处置单位/企业</w:t>
            </w:r>
          </w:p>
        </w:tc>
        <w:tc>
          <w:tcPr>
            <w:tcW w:w="449" w:type="pct"/>
            <w:tcBorders>
              <w:top w:val="single" w:color="auto" w:sz="12" w:space="0"/>
              <w:bottom w:val="single" w:color="auto" w:sz="8" w:space="0"/>
            </w:tcBorders>
            <w:vAlign w:val="center"/>
          </w:tcPr>
          <w:p w14:paraId="73E40706">
            <w:pPr>
              <w:pStyle w:val="26"/>
            </w:pPr>
            <w:r>
              <w:t>处置技术</w:t>
            </w:r>
          </w:p>
        </w:tc>
        <w:tc>
          <w:tcPr>
            <w:tcW w:w="451" w:type="pct"/>
            <w:tcBorders>
              <w:top w:val="single" w:color="auto" w:sz="12" w:space="0"/>
              <w:bottom w:val="single" w:color="auto" w:sz="8" w:space="0"/>
            </w:tcBorders>
            <w:vAlign w:val="center"/>
          </w:tcPr>
          <w:p w14:paraId="0DEE6A0B">
            <w:pPr>
              <w:pStyle w:val="26"/>
            </w:pPr>
            <w:r>
              <w:t>CO</w:t>
            </w:r>
            <w:r>
              <w:rPr>
                <w:vertAlign w:val="subscript"/>
              </w:rPr>
              <w:t>2</w:t>
            </w:r>
            <w:r>
              <w:t>年利用/注入量（万吨）</w:t>
            </w:r>
          </w:p>
        </w:tc>
        <w:tc>
          <w:tcPr>
            <w:tcW w:w="437" w:type="pct"/>
            <w:tcBorders>
              <w:top w:val="single" w:color="auto" w:sz="12" w:space="0"/>
              <w:bottom w:val="single" w:color="auto" w:sz="8" w:space="0"/>
            </w:tcBorders>
            <w:vAlign w:val="center"/>
          </w:tcPr>
          <w:p w14:paraId="0E66DB07">
            <w:pPr>
              <w:pStyle w:val="26"/>
            </w:pPr>
            <w:r>
              <w:t>CO</w:t>
            </w:r>
            <w:r>
              <w:rPr>
                <w:vertAlign w:val="subscript"/>
              </w:rPr>
              <w:t>2</w:t>
            </w:r>
            <w:r>
              <w:t>总利用量（万吨）</w:t>
            </w:r>
          </w:p>
        </w:tc>
        <w:tc>
          <w:tcPr>
            <w:tcW w:w="262" w:type="pct"/>
            <w:vMerge w:val="continue"/>
            <w:tcBorders>
              <w:top w:val="nil"/>
              <w:bottom w:val="single" w:color="auto" w:sz="8" w:space="0"/>
            </w:tcBorders>
            <w:vAlign w:val="center"/>
          </w:tcPr>
          <w:p w14:paraId="1AED4368">
            <w:pPr>
              <w:pStyle w:val="26"/>
            </w:pPr>
          </w:p>
        </w:tc>
        <w:tc>
          <w:tcPr>
            <w:tcW w:w="412" w:type="pct"/>
            <w:vMerge w:val="continue"/>
            <w:tcBorders>
              <w:top w:val="nil"/>
              <w:bottom w:val="single" w:color="auto" w:sz="8" w:space="0"/>
            </w:tcBorders>
            <w:vAlign w:val="center"/>
          </w:tcPr>
          <w:p w14:paraId="1B3FB889">
            <w:pPr>
              <w:pStyle w:val="26"/>
            </w:pPr>
          </w:p>
        </w:tc>
      </w:tr>
      <w:tr w14:paraId="6DE38FAC">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jc w:val="center"/>
        </w:trPr>
        <w:tc>
          <w:tcPr>
            <w:tcW w:w="552" w:type="pct"/>
            <w:tcBorders>
              <w:top w:val="single" w:color="auto" w:sz="8" w:space="0"/>
            </w:tcBorders>
            <w:vAlign w:val="center"/>
          </w:tcPr>
          <w:p w14:paraId="20761F45">
            <w:pPr>
              <w:pStyle w:val="26"/>
            </w:pPr>
            <w:r>
              <w:t>国家能源集团鄂尔多斯咸水层封存项目</w:t>
            </w:r>
          </w:p>
        </w:tc>
        <w:tc>
          <w:tcPr>
            <w:tcW w:w="282" w:type="pct"/>
            <w:tcBorders>
              <w:top w:val="single" w:color="auto" w:sz="8" w:space="0"/>
            </w:tcBorders>
            <w:vAlign w:val="center"/>
          </w:tcPr>
          <w:p w14:paraId="6E9A6EA8">
            <w:pPr>
              <w:pStyle w:val="26"/>
            </w:pPr>
            <w:r>
              <w:t>内蒙古鄂尔多斯市</w:t>
            </w:r>
          </w:p>
        </w:tc>
        <w:tc>
          <w:tcPr>
            <w:tcW w:w="305" w:type="pct"/>
            <w:tcBorders>
              <w:top w:val="single" w:color="auto" w:sz="8" w:space="0"/>
            </w:tcBorders>
            <w:vAlign w:val="center"/>
          </w:tcPr>
          <w:p w14:paraId="35942602">
            <w:pPr>
              <w:pStyle w:val="26"/>
            </w:pPr>
            <w:r>
              <w:t>煤制油</w:t>
            </w:r>
          </w:p>
        </w:tc>
        <w:tc>
          <w:tcPr>
            <w:tcW w:w="521" w:type="pct"/>
            <w:tcBorders>
              <w:top w:val="single" w:color="auto" w:sz="8" w:space="0"/>
            </w:tcBorders>
            <w:vAlign w:val="center"/>
          </w:tcPr>
          <w:p w14:paraId="0F82E1B0">
            <w:pPr>
              <w:pStyle w:val="26"/>
            </w:pPr>
            <w:r>
              <w:t>国家能源投资集团有限责任公司鄂尔多斯煤制油分公司</w:t>
            </w:r>
          </w:p>
        </w:tc>
        <w:tc>
          <w:tcPr>
            <w:tcW w:w="279" w:type="pct"/>
            <w:tcBorders>
              <w:top w:val="single" w:color="auto" w:sz="8" w:space="0"/>
            </w:tcBorders>
            <w:vAlign w:val="center"/>
          </w:tcPr>
          <w:p w14:paraId="2B18D0F0">
            <w:pPr>
              <w:pStyle w:val="26"/>
            </w:pPr>
            <w:r>
              <w:t>低温甲醇洗</w:t>
            </w:r>
          </w:p>
        </w:tc>
        <w:tc>
          <w:tcPr>
            <w:tcW w:w="307" w:type="pct"/>
            <w:tcBorders>
              <w:top w:val="single" w:color="auto" w:sz="8" w:space="0"/>
            </w:tcBorders>
            <w:vAlign w:val="center"/>
          </w:tcPr>
          <w:p w14:paraId="72146346">
            <w:pPr>
              <w:pStyle w:val="26"/>
            </w:pPr>
            <w:r>
              <w:t>10</w:t>
            </w:r>
          </w:p>
        </w:tc>
        <w:tc>
          <w:tcPr>
            <w:tcW w:w="743" w:type="pct"/>
            <w:tcBorders>
              <w:top w:val="single" w:color="auto" w:sz="8" w:space="0"/>
            </w:tcBorders>
            <w:vAlign w:val="center"/>
          </w:tcPr>
          <w:p w14:paraId="13315757">
            <w:pPr>
              <w:pStyle w:val="26"/>
            </w:pPr>
            <w:r>
              <w:t>国家能源投资集团有限责任公司煤制油分公司</w:t>
            </w:r>
          </w:p>
        </w:tc>
        <w:tc>
          <w:tcPr>
            <w:tcW w:w="449" w:type="pct"/>
            <w:tcBorders>
              <w:top w:val="single" w:color="auto" w:sz="8" w:space="0"/>
            </w:tcBorders>
            <w:vAlign w:val="center"/>
          </w:tcPr>
          <w:p w14:paraId="66F04F16">
            <w:pPr>
              <w:pStyle w:val="26"/>
            </w:pPr>
            <w:r>
              <w:t>咸水层封存</w:t>
            </w:r>
          </w:p>
        </w:tc>
        <w:tc>
          <w:tcPr>
            <w:tcW w:w="451" w:type="pct"/>
            <w:tcBorders>
              <w:top w:val="single" w:color="auto" w:sz="8" w:space="0"/>
            </w:tcBorders>
            <w:vAlign w:val="center"/>
          </w:tcPr>
          <w:p w14:paraId="2C16FED2">
            <w:pPr>
              <w:pStyle w:val="26"/>
            </w:pPr>
            <w:r>
              <w:t>10</w:t>
            </w:r>
          </w:p>
        </w:tc>
        <w:tc>
          <w:tcPr>
            <w:tcW w:w="437" w:type="pct"/>
            <w:tcBorders>
              <w:top w:val="single" w:color="auto" w:sz="8" w:space="0"/>
            </w:tcBorders>
            <w:vAlign w:val="center"/>
          </w:tcPr>
          <w:p w14:paraId="093A937C">
            <w:pPr>
              <w:pStyle w:val="26"/>
            </w:pPr>
            <w:r>
              <w:t>30.26</w:t>
            </w:r>
          </w:p>
        </w:tc>
        <w:tc>
          <w:tcPr>
            <w:tcW w:w="262" w:type="pct"/>
            <w:tcBorders>
              <w:top w:val="single" w:color="auto" w:sz="8" w:space="0"/>
            </w:tcBorders>
            <w:noWrap/>
            <w:vAlign w:val="center"/>
          </w:tcPr>
          <w:p w14:paraId="2738C3AE">
            <w:pPr>
              <w:pStyle w:val="26"/>
            </w:pPr>
            <w:r>
              <w:t>2011</w:t>
            </w:r>
          </w:p>
        </w:tc>
        <w:tc>
          <w:tcPr>
            <w:tcW w:w="412" w:type="pct"/>
            <w:tcBorders>
              <w:top w:val="single" w:color="auto" w:sz="8" w:space="0"/>
            </w:tcBorders>
            <w:vAlign w:val="center"/>
          </w:tcPr>
          <w:p w14:paraId="47B7B690">
            <w:pPr>
              <w:pStyle w:val="26"/>
            </w:pPr>
            <w:r>
              <w:t>于2016年停止注入，监测中</w:t>
            </w:r>
          </w:p>
        </w:tc>
      </w:tr>
      <w:tr w14:paraId="4F78DF8D">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jc w:val="center"/>
        </w:trPr>
        <w:tc>
          <w:tcPr>
            <w:tcW w:w="552" w:type="pct"/>
            <w:vAlign w:val="center"/>
          </w:tcPr>
          <w:p w14:paraId="4E0B9FC3">
            <w:pPr>
              <w:pStyle w:val="26"/>
            </w:pPr>
            <w:r>
              <w:t>延长石油陕北煤化工5万吨/年CO</w:t>
            </w:r>
            <w:r>
              <w:rPr>
                <w:vertAlign w:val="subscript"/>
              </w:rPr>
              <w:t>2</w:t>
            </w:r>
            <w:r>
              <w:t>捕集与示范</w:t>
            </w:r>
          </w:p>
        </w:tc>
        <w:tc>
          <w:tcPr>
            <w:tcW w:w="282" w:type="pct"/>
            <w:vAlign w:val="center"/>
          </w:tcPr>
          <w:p w14:paraId="2EFCD36F">
            <w:pPr>
              <w:pStyle w:val="26"/>
            </w:pPr>
            <w:r>
              <w:t>陕西省西安市</w:t>
            </w:r>
          </w:p>
        </w:tc>
        <w:tc>
          <w:tcPr>
            <w:tcW w:w="305" w:type="pct"/>
            <w:vAlign w:val="center"/>
          </w:tcPr>
          <w:p w14:paraId="344809C3">
            <w:pPr>
              <w:pStyle w:val="26"/>
            </w:pPr>
            <w:r>
              <w:t>煤制气</w:t>
            </w:r>
          </w:p>
        </w:tc>
        <w:tc>
          <w:tcPr>
            <w:tcW w:w="521" w:type="pct"/>
            <w:vAlign w:val="center"/>
          </w:tcPr>
          <w:p w14:paraId="4AAB5FC5">
            <w:pPr>
              <w:pStyle w:val="26"/>
            </w:pPr>
            <w:r>
              <w:t>陕西延长石油榆林煤炭化学公司气化厂</w:t>
            </w:r>
          </w:p>
        </w:tc>
        <w:tc>
          <w:tcPr>
            <w:tcW w:w="279" w:type="pct"/>
            <w:vAlign w:val="center"/>
          </w:tcPr>
          <w:p w14:paraId="2B85F1EB">
            <w:pPr>
              <w:pStyle w:val="26"/>
            </w:pPr>
            <w:r>
              <w:t>低温甲醇洗</w:t>
            </w:r>
          </w:p>
        </w:tc>
        <w:tc>
          <w:tcPr>
            <w:tcW w:w="307" w:type="pct"/>
            <w:vAlign w:val="center"/>
          </w:tcPr>
          <w:p w14:paraId="4C9E86AF">
            <w:pPr>
              <w:pStyle w:val="26"/>
            </w:pPr>
            <w:r>
              <w:t>30</w:t>
            </w:r>
          </w:p>
        </w:tc>
        <w:tc>
          <w:tcPr>
            <w:tcW w:w="743" w:type="pct"/>
            <w:vAlign w:val="center"/>
          </w:tcPr>
          <w:p w14:paraId="78A1B7E5">
            <w:pPr>
              <w:pStyle w:val="26"/>
            </w:pPr>
            <w:r>
              <w:t>延长石油</w:t>
            </w:r>
          </w:p>
        </w:tc>
        <w:tc>
          <w:tcPr>
            <w:tcW w:w="449" w:type="pct"/>
            <w:vAlign w:val="center"/>
          </w:tcPr>
          <w:p w14:paraId="6F18C19A">
            <w:pPr>
              <w:pStyle w:val="26"/>
            </w:pPr>
            <w:r>
              <w:t>EOR</w:t>
            </w:r>
          </w:p>
        </w:tc>
        <w:tc>
          <w:tcPr>
            <w:tcW w:w="451" w:type="pct"/>
            <w:vAlign w:val="center"/>
          </w:tcPr>
          <w:p w14:paraId="23C82310">
            <w:pPr>
              <w:pStyle w:val="26"/>
            </w:pPr>
            <w:r>
              <w:t>5</w:t>
            </w:r>
          </w:p>
        </w:tc>
        <w:tc>
          <w:tcPr>
            <w:tcW w:w="437" w:type="pct"/>
            <w:vAlign w:val="center"/>
          </w:tcPr>
          <w:p w14:paraId="4FF5E8DD">
            <w:pPr>
              <w:pStyle w:val="26"/>
            </w:pPr>
            <w:r>
              <w:t>13</w:t>
            </w:r>
          </w:p>
        </w:tc>
        <w:tc>
          <w:tcPr>
            <w:tcW w:w="262" w:type="pct"/>
            <w:noWrap/>
            <w:vAlign w:val="center"/>
          </w:tcPr>
          <w:p w14:paraId="27F34E23">
            <w:pPr>
              <w:pStyle w:val="26"/>
            </w:pPr>
            <w:r>
              <w:t>2013</w:t>
            </w:r>
          </w:p>
        </w:tc>
        <w:tc>
          <w:tcPr>
            <w:tcW w:w="412" w:type="pct"/>
            <w:vAlign w:val="center"/>
          </w:tcPr>
          <w:p w14:paraId="3C09651D">
            <w:pPr>
              <w:pStyle w:val="26"/>
            </w:pPr>
            <w:r>
              <w:t>运行中，规模扩大</w:t>
            </w:r>
          </w:p>
        </w:tc>
      </w:tr>
      <w:tr w14:paraId="7252A813">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jc w:val="center"/>
        </w:trPr>
        <w:tc>
          <w:tcPr>
            <w:tcW w:w="552" w:type="pct"/>
            <w:vAlign w:val="center"/>
          </w:tcPr>
          <w:p w14:paraId="6B251224">
            <w:pPr>
              <w:pStyle w:val="26"/>
            </w:pPr>
            <w:r>
              <w:t>长庆油田EOR项目</w:t>
            </w:r>
          </w:p>
        </w:tc>
        <w:tc>
          <w:tcPr>
            <w:tcW w:w="282" w:type="pct"/>
            <w:vAlign w:val="center"/>
          </w:tcPr>
          <w:p w14:paraId="0835DAD4">
            <w:pPr>
              <w:pStyle w:val="26"/>
            </w:pPr>
            <w:r>
              <w:t>陕西西安</w:t>
            </w:r>
          </w:p>
        </w:tc>
        <w:tc>
          <w:tcPr>
            <w:tcW w:w="305" w:type="pct"/>
            <w:vAlign w:val="center"/>
          </w:tcPr>
          <w:p w14:paraId="1518B249">
            <w:pPr>
              <w:pStyle w:val="26"/>
            </w:pPr>
            <w:r>
              <w:t>甲醇厂</w:t>
            </w:r>
          </w:p>
        </w:tc>
        <w:tc>
          <w:tcPr>
            <w:tcW w:w="521" w:type="pct"/>
            <w:vAlign w:val="center"/>
          </w:tcPr>
          <w:p w14:paraId="6F7C67FE">
            <w:pPr>
              <w:pStyle w:val="26"/>
            </w:pPr>
            <w:r>
              <w:t>宁夏德大气体开发科技有限公司/神宁煤化工甲醇厂</w:t>
            </w:r>
          </w:p>
        </w:tc>
        <w:tc>
          <w:tcPr>
            <w:tcW w:w="279" w:type="pct"/>
            <w:vAlign w:val="center"/>
          </w:tcPr>
          <w:p w14:paraId="12AE7470">
            <w:pPr>
              <w:pStyle w:val="26"/>
            </w:pPr>
            <w:r>
              <w:t>低温甲醇洗</w:t>
            </w:r>
          </w:p>
        </w:tc>
        <w:tc>
          <w:tcPr>
            <w:tcW w:w="307" w:type="pct"/>
            <w:vAlign w:val="center"/>
          </w:tcPr>
          <w:p w14:paraId="49B59539">
            <w:pPr>
              <w:pStyle w:val="26"/>
            </w:pPr>
            <w:r>
              <w:t>5</w:t>
            </w:r>
          </w:p>
        </w:tc>
        <w:tc>
          <w:tcPr>
            <w:tcW w:w="743" w:type="pct"/>
            <w:vAlign w:val="center"/>
          </w:tcPr>
          <w:p w14:paraId="562A8FCF">
            <w:pPr>
              <w:pStyle w:val="26"/>
            </w:pPr>
            <w:r>
              <w:t>长庆油田</w:t>
            </w:r>
          </w:p>
        </w:tc>
        <w:tc>
          <w:tcPr>
            <w:tcW w:w="449" w:type="pct"/>
            <w:vAlign w:val="center"/>
          </w:tcPr>
          <w:p w14:paraId="39DBEBD0">
            <w:pPr>
              <w:pStyle w:val="26"/>
            </w:pPr>
            <w:r>
              <w:t>EOR</w:t>
            </w:r>
          </w:p>
        </w:tc>
        <w:tc>
          <w:tcPr>
            <w:tcW w:w="451" w:type="pct"/>
            <w:vAlign w:val="center"/>
          </w:tcPr>
          <w:p w14:paraId="44F26ED1">
            <w:pPr>
              <w:pStyle w:val="26"/>
            </w:pPr>
            <w:r>
              <w:t>5</w:t>
            </w:r>
          </w:p>
        </w:tc>
        <w:tc>
          <w:tcPr>
            <w:tcW w:w="437" w:type="pct"/>
            <w:vAlign w:val="center"/>
          </w:tcPr>
          <w:p w14:paraId="2392231E">
            <w:pPr>
              <w:pStyle w:val="26"/>
            </w:pPr>
            <w:r>
              <w:t>37.6</w:t>
            </w:r>
          </w:p>
        </w:tc>
        <w:tc>
          <w:tcPr>
            <w:tcW w:w="262" w:type="pct"/>
            <w:noWrap/>
            <w:vAlign w:val="center"/>
          </w:tcPr>
          <w:p w14:paraId="3859EB8C">
            <w:pPr>
              <w:pStyle w:val="26"/>
            </w:pPr>
            <w:r>
              <w:t>2017</w:t>
            </w:r>
          </w:p>
        </w:tc>
        <w:tc>
          <w:tcPr>
            <w:tcW w:w="412" w:type="pct"/>
            <w:vAlign w:val="center"/>
          </w:tcPr>
          <w:p w14:paraId="6CAE35CB">
            <w:pPr>
              <w:pStyle w:val="26"/>
            </w:pPr>
            <w:r>
              <w:t>运行中</w:t>
            </w:r>
          </w:p>
        </w:tc>
      </w:tr>
      <w:tr w14:paraId="2E33E1E2">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jc w:val="center"/>
        </w:trPr>
        <w:tc>
          <w:tcPr>
            <w:tcW w:w="552" w:type="pct"/>
            <w:vAlign w:val="center"/>
          </w:tcPr>
          <w:p w14:paraId="6806E081">
            <w:pPr>
              <w:pStyle w:val="26"/>
            </w:pPr>
            <w:r>
              <w:t>中石化齐鲁石化胜利油田CCS项目</w:t>
            </w:r>
          </w:p>
        </w:tc>
        <w:tc>
          <w:tcPr>
            <w:tcW w:w="282" w:type="pct"/>
            <w:vAlign w:val="center"/>
          </w:tcPr>
          <w:p w14:paraId="6ADF9B96">
            <w:pPr>
              <w:pStyle w:val="26"/>
            </w:pPr>
            <w:r>
              <w:t>山东淄博</w:t>
            </w:r>
          </w:p>
        </w:tc>
        <w:tc>
          <w:tcPr>
            <w:tcW w:w="305" w:type="pct"/>
            <w:vAlign w:val="center"/>
          </w:tcPr>
          <w:p w14:paraId="1F60CAD2">
            <w:pPr>
              <w:pStyle w:val="26"/>
            </w:pPr>
            <w:r>
              <w:t>化工厂</w:t>
            </w:r>
          </w:p>
        </w:tc>
        <w:tc>
          <w:tcPr>
            <w:tcW w:w="521" w:type="pct"/>
            <w:vAlign w:val="center"/>
          </w:tcPr>
          <w:p w14:paraId="5F51A18B">
            <w:pPr>
              <w:pStyle w:val="26"/>
            </w:pPr>
            <w:r>
              <w:t>中国石油化工集团有限公司</w:t>
            </w:r>
          </w:p>
        </w:tc>
        <w:tc>
          <w:tcPr>
            <w:tcW w:w="279" w:type="pct"/>
            <w:vAlign w:val="center"/>
          </w:tcPr>
          <w:p w14:paraId="59AF47BB">
            <w:pPr>
              <w:pStyle w:val="26"/>
            </w:pPr>
            <w:r>
              <w:t>低温甲醇洗</w:t>
            </w:r>
          </w:p>
        </w:tc>
        <w:tc>
          <w:tcPr>
            <w:tcW w:w="307" w:type="pct"/>
            <w:vAlign w:val="center"/>
          </w:tcPr>
          <w:p w14:paraId="345FC2E7">
            <w:pPr>
              <w:pStyle w:val="26"/>
            </w:pPr>
            <w:r>
              <w:t>35</w:t>
            </w:r>
          </w:p>
        </w:tc>
        <w:tc>
          <w:tcPr>
            <w:tcW w:w="743" w:type="pct"/>
            <w:noWrap/>
            <w:vAlign w:val="center"/>
          </w:tcPr>
          <w:p w14:paraId="58C4D5F5">
            <w:pPr>
              <w:pStyle w:val="26"/>
            </w:pPr>
            <w:r>
              <w:t>齐鲁石化、胜利油田</w:t>
            </w:r>
          </w:p>
        </w:tc>
        <w:tc>
          <w:tcPr>
            <w:tcW w:w="449" w:type="pct"/>
            <w:vAlign w:val="center"/>
          </w:tcPr>
          <w:p w14:paraId="12510122">
            <w:pPr>
              <w:pStyle w:val="26"/>
            </w:pPr>
            <w:r>
              <w:t>EOR</w:t>
            </w:r>
          </w:p>
        </w:tc>
        <w:tc>
          <w:tcPr>
            <w:tcW w:w="451" w:type="pct"/>
            <w:noWrap/>
            <w:vAlign w:val="center"/>
          </w:tcPr>
          <w:p w14:paraId="48A522C2">
            <w:pPr>
              <w:pStyle w:val="26"/>
            </w:pPr>
            <w:r>
              <w:t>/</w:t>
            </w:r>
          </w:p>
        </w:tc>
        <w:tc>
          <w:tcPr>
            <w:tcW w:w="437" w:type="pct"/>
            <w:noWrap/>
            <w:vAlign w:val="center"/>
          </w:tcPr>
          <w:p w14:paraId="0233492B">
            <w:pPr>
              <w:pStyle w:val="26"/>
            </w:pPr>
            <w:r>
              <w:t>/</w:t>
            </w:r>
          </w:p>
        </w:tc>
        <w:tc>
          <w:tcPr>
            <w:tcW w:w="262" w:type="pct"/>
            <w:noWrap/>
            <w:vAlign w:val="center"/>
          </w:tcPr>
          <w:p w14:paraId="048A9E30">
            <w:pPr>
              <w:pStyle w:val="26"/>
            </w:pPr>
            <w:r>
              <w:t>2017</w:t>
            </w:r>
          </w:p>
        </w:tc>
        <w:tc>
          <w:tcPr>
            <w:tcW w:w="412" w:type="pct"/>
            <w:vAlign w:val="center"/>
          </w:tcPr>
          <w:p w14:paraId="54E34751">
            <w:pPr>
              <w:pStyle w:val="26"/>
            </w:pPr>
            <w:r>
              <w:t>运行中</w:t>
            </w:r>
          </w:p>
        </w:tc>
      </w:tr>
    </w:tbl>
    <w:p w14:paraId="176D6223">
      <w:pPr>
        <w:pStyle w:val="23"/>
        <w:ind w:firstLine="480"/>
        <w:rPr>
          <w:rFonts w:cs="Times New Roman"/>
        </w:rPr>
      </w:pPr>
    </w:p>
    <w:p w14:paraId="1E736206">
      <w:pPr>
        <w:pStyle w:val="23"/>
        <w:ind w:firstLine="480"/>
        <w:rPr>
          <w:rFonts w:cs="Times New Roman"/>
        </w:rPr>
        <w:sectPr>
          <w:pgSz w:w="16838" w:h="11906" w:orient="landscape"/>
          <w:pgMar w:top="1800" w:right="1440" w:bottom="1800" w:left="1440" w:header="851" w:footer="992" w:gutter="0"/>
          <w:cols w:space="425" w:num="1"/>
          <w:docGrid w:type="lines" w:linePitch="312" w:charSpace="0"/>
        </w:sectPr>
      </w:pPr>
    </w:p>
    <w:p w14:paraId="5FE0788A">
      <w:pPr>
        <w:pStyle w:val="23"/>
        <w:ind w:firstLine="480"/>
        <w:rPr>
          <w:rFonts w:cs="Times New Roman"/>
        </w:rPr>
      </w:pPr>
      <w:r>
        <w:rPr>
          <w:rFonts w:cs="Times New Roman"/>
        </w:rPr>
        <w:t>（4）具有化工与生物利用条件。部分化工利用与生物利用需要一定的占地，同时其所需要的原材料在地理分布上与煤化工分布具有较好的匹配性，因此，煤化工企业可与化工利用、生物利用结合。</w:t>
      </w:r>
    </w:p>
    <w:p w14:paraId="417D296A">
      <w:pPr>
        <w:pStyle w:val="23"/>
        <w:ind w:firstLine="480"/>
        <w:rPr>
          <w:rFonts w:cs="Times New Roman"/>
        </w:rPr>
      </w:pPr>
      <w:r>
        <w:rPr>
          <w:rFonts w:cs="Times New Roman"/>
        </w:rPr>
        <w:t>（5）具备开展大规模示范以及CCUS园区化、集群化的早期机会。成本低、工艺成熟、可与地质利用、化工利用、生物利用相结合，一系列的优势为煤化工开展大规模示范以及CCUS园区化、集群化创造了良好的早期机会。具有多种利用方式，具备了园区化、集群的基本要素，同时用户多、CO</w:t>
      </w:r>
      <w:r>
        <w:rPr>
          <w:rFonts w:cs="Times New Roman"/>
          <w:vertAlign w:val="subscript"/>
        </w:rPr>
        <w:t>2</w:t>
      </w:r>
      <w:r>
        <w:rPr>
          <w:rFonts w:cs="Times New Roman"/>
        </w:rPr>
        <w:t>源头多，封存利用方式多，地理匹配关系好，因此，相对电力、钢铁、水泥行业容易首先形成集群，并以此为过渡，逐渐将其他行业纳入集群。</w:t>
      </w:r>
    </w:p>
    <w:p w14:paraId="79AA94D5">
      <w:pPr>
        <w:pStyle w:val="23"/>
        <w:ind w:firstLine="480"/>
        <w:rPr>
          <w:rFonts w:cs="Times New Roman"/>
        </w:rPr>
      </w:pPr>
      <w:r>
        <w:rPr>
          <w:rFonts w:cs="Times New Roman"/>
        </w:rPr>
        <w:t>基于以上特征，煤化工与CCUS技术的结合仍有较大的发展空间，应重视现代煤化工的全产业链CCUS集成，并努力统筹跨产业的协同发展，以达到国际先进水平。</w:t>
      </w:r>
    </w:p>
    <w:p w14:paraId="201C9A9B">
      <w:pPr>
        <w:pStyle w:val="23"/>
        <w:ind w:firstLine="482"/>
        <w:rPr>
          <w:rFonts w:cs="Times New Roman"/>
          <w:b/>
          <w:bCs/>
        </w:rPr>
      </w:pPr>
      <w:r>
        <w:rPr>
          <w:rFonts w:cs="Times New Roman"/>
          <w:b/>
          <w:bCs/>
        </w:rPr>
        <w:t>煤化工CCUS应用潜力：</w:t>
      </w:r>
    </w:p>
    <w:p w14:paraId="0463DD17">
      <w:pPr>
        <w:pStyle w:val="23"/>
        <w:ind w:firstLine="480"/>
        <w:rPr>
          <w:rFonts w:cs="Times New Roman"/>
        </w:rPr>
      </w:pPr>
      <w:r>
        <w:rPr>
          <w:rFonts w:cs="Times New Roman"/>
        </w:rPr>
        <w:t>目前对煤化工CCUS的应用潜力研究，主要集中在地质利用与封存方面，尤其是咸水层方面，尚缺乏对生物利用、化工利用潜力的定量分析，未来随着管网的建成，大规模稳定气源将为化工、生物利用提供条件，煤化工CCUS的潜力将远远大于已有数据。</w:t>
      </w:r>
    </w:p>
    <w:p w14:paraId="0625785A">
      <w:pPr>
        <w:pStyle w:val="23"/>
        <w:ind w:firstLine="480"/>
        <w:rPr>
          <w:rFonts w:cs="Times New Roman"/>
        </w:rPr>
      </w:pPr>
      <w:r>
        <w:rPr>
          <w:rFonts w:cs="Times New Roman"/>
        </w:rPr>
        <w:t>考虑封存容量、可注入性、地质风险和环境限制等影响封存场地适宜性的主要因素，中国西北、东北和华北地区的煤化工排放源具有良好的咸水层利用与封存机会，主要包括塔里木盆地、准噶尔盆地、吐哈盆地、柴达木盆地、松辽盆地、鄂尔多斯盆地、渤海湾盆地等。除考虑封存量等因素，综合考虑储层深度、原油重力、压力、温度、原油粘度和残余油饱和度等，上述CO</w:t>
      </w:r>
      <w:r>
        <w:rPr>
          <w:rFonts w:cs="Times New Roman"/>
          <w:vertAlign w:val="subscript"/>
        </w:rPr>
        <w:t>2</w:t>
      </w:r>
      <w:r>
        <w:rPr>
          <w:rFonts w:cs="Times New Roman"/>
        </w:rPr>
        <w:t>-EWR适宜地区还存在大量适合开展CO</w:t>
      </w:r>
      <w:r>
        <w:rPr>
          <w:rFonts w:cs="Times New Roman"/>
          <w:vertAlign w:val="subscript"/>
        </w:rPr>
        <w:t>2</w:t>
      </w:r>
      <w:r>
        <w:rPr>
          <w:rFonts w:cs="Times New Roman"/>
        </w:rPr>
        <w:t>驱油的油田。</w:t>
      </w:r>
    </w:p>
    <w:p w14:paraId="6686C2A0">
      <w:pPr>
        <w:pStyle w:val="23"/>
        <w:ind w:firstLine="480"/>
        <w:rPr>
          <w:rFonts w:cs="Times New Roman"/>
        </w:rPr>
      </w:pPr>
      <w:r>
        <w:rPr>
          <w:rFonts w:cs="Times New Roman"/>
        </w:rPr>
        <w:t>全流程CO</w:t>
      </w:r>
      <w:r>
        <w:rPr>
          <w:rFonts w:cs="Times New Roman"/>
          <w:vertAlign w:val="subscript"/>
        </w:rPr>
        <w:t>2</w:t>
      </w:r>
      <w:r>
        <w:rPr>
          <w:rFonts w:cs="Times New Roman"/>
        </w:rPr>
        <w:t>-EWR项目是将现代煤化工高纯CO</w:t>
      </w:r>
      <w:r>
        <w:rPr>
          <w:rFonts w:cs="Times New Roman"/>
          <w:vertAlign w:val="subscript"/>
        </w:rPr>
        <w:t>2</w:t>
      </w:r>
      <w:r>
        <w:rPr>
          <w:rFonts w:cs="Times New Roman"/>
        </w:rPr>
        <w:t>直接压缩后运输到适宜的场地进行封存，同时抽出咸水，处理后进行出售或使用。与其他行业CCUS相比，现代煤化工高浓度CO</w:t>
      </w:r>
      <w:r>
        <w:rPr>
          <w:rFonts w:cs="Times New Roman"/>
          <w:vertAlign w:val="subscript"/>
        </w:rPr>
        <w:t>2</w:t>
      </w:r>
      <w:r>
        <w:rPr>
          <w:rFonts w:cs="Times New Roman"/>
        </w:rPr>
        <w:t>的CCUS项目减少了捕集成本，只包括CO</w:t>
      </w:r>
      <w:r>
        <w:rPr>
          <w:rFonts w:cs="Times New Roman"/>
          <w:vertAlign w:val="subscript"/>
        </w:rPr>
        <w:t>2</w:t>
      </w:r>
      <w:r>
        <w:rPr>
          <w:rFonts w:cs="Times New Roman"/>
        </w:rPr>
        <w:t>脱水和压缩成本、CO</w:t>
      </w:r>
      <w:r>
        <w:rPr>
          <w:rFonts w:cs="Times New Roman"/>
          <w:vertAlign w:val="subscript"/>
        </w:rPr>
        <w:t>2</w:t>
      </w:r>
      <w:r>
        <w:rPr>
          <w:rFonts w:cs="Times New Roman"/>
        </w:rPr>
        <w:t>管道输送成本、CO</w:t>
      </w:r>
      <w:r>
        <w:rPr>
          <w:rFonts w:cs="Times New Roman"/>
          <w:vertAlign w:val="subscript"/>
        </w:rPr>
        <w:t>2</w:t>
      </w:r>
      <w:r>
        <w:rPr>
          <w:rFonts w:cs="Times New Roman"/>
        </w:rPr>
        <w:t>咸水层封存/EWR的成本。每个环节又包括资本支出和操作维护成本。</w:t>
      </w:r>
    </w:p>
    <w:p w14:paraId="5AE55B3A">
      <w:pPr>
        <w:pStyle w:val="23"/>
        <w:ind w:firstLine="480"/>
        <w:rPr>
          <w:rFonts w:cs="Times New Roman"/>
        </w:rPr>
      </w:pPr>
      <w:r>
        <w:rPr>
          <w:rFonts w:cs="Times New Roman"/>
        </w:rPr>
        <w:t>在CO</w:t>
      </w:r>
      <w:r>
        <w:rPr>
          <w:rFonts w:cs="Times New Roman"/>
          <w:vertAlign w:val="subscript"/>
        </w:rPr>
        <w:t>2</w:t>
      </w:r>
      <w:r>
        <w:rPr>
          <w:rFonts w:cs="Times New Roman"/>
        </w:rPr>
        <w:t>源的250km半径内，能够封存该排放源20年CO</w:t>
      </w:r>
      <w:r>
        <w:rPr>
          <w:rFonts w:cs="Times New Roman"/>
          <w:vertAlign w:val="subscript"/>
        </w:rPr>
        <w:t>2</w:t>
      </w:r>
      <w:r>
        <w:rPr>
          <w:rFonts w:cs="Times New Roman"/>
        </w:rPr>
        <w:t>捕集量的场地将成为候选场地，基于以上条件，可筛选出459对源汇组合，每对源汇组合的CO</w:t>
      </w:r>
      <w:r>
        <w:rPr>
          <w:rFonts w:cs="Times New Roman"/>
          <w:vertAlign w:val="subscript"/>
        </w:rPr>
        <w:t>2</w:t>
      </w:r>
      <w:r>
        <w:rPr>
          <w:rFonts w:cs="Times New Roman"/>
        </w:rPr>
        <w:t>年排放量是0.02Mt~12.22Mt，平均为0.76Mt。潜在的CCUS项目可以实现1610 Mt/a的减排量，平均源汇距离为85km，大多分布于中国西北、华北及北部干旱地区，成本从90元/吨到600元/吨不等。</w:t>
      </w:r>
    </w:p>
    <w:p w14:paraId="2BE99783">
      <w:pPr>
        <w:pStyle w:val="23"/>
        <w:ind w:firstLine="480"/>
        <w:rPr>
          <w:rFonts w:cs="Times New Roman"/>
        </w:rPr>
      </w:pPr>
      <w:r>
        <w:rPr>
          <w:rFonts w:cs="Times New Roman"/>
        </w:rPr>
        <w:t>根据2018年实际产量评估，当平准化成本低于200元/t CO</w:t>
      </w:r>
      <w:r>
        <w:rPr>
          <w:rFonts w:cs="Times New Roman"/>
          <w:vertAlign w:val="subscript"/>
        </w:rPr>
        <w:t>2</w:t>
      </w:r>
      <w:r>
        <w:rPr>
          <w:rFonts w:cs="Times New Roman"/>
        </w:rPr>
        <w:t>时，年累计减排CO</w:t>
      </w:r>
      <w:r>
        <w:rPr>
          <w:rFonts w:cs="Times New Roman"/>
          <w:vertAlign w:val="subscript"/>
        </w:rPr>
        <w:t>2</w:t>
      </w:r>
      <w:r>
        <w:rPr>
          <w:rFonts w:cs="Times New Roman"/>
        </w:rPr>
        <w:t>量为160 Mt，占2018年煤化工厂实际排放CO</w:t>
      </w:r>
      <w:r>
        <w:rPr>
          <w:rFonts w:cs="Times New Roman"/>
          <w:vertAlign w:val="subscript"/>
        </w:rPr>
        <w:t>2</w:t>
      </w:r>
      <w:r>
        <w:rPr>
          <w:rFonts w:cs="Times New Roman"/>
        </w:rPr>
        <w:t>量的49%，每年生产的可脱盐用于工业的深部咸水量为241 Mt。根据总产能的评估，每年生产的深部咸水量为2353 Mt。</w:t>
      </w:r>
    </w:p>
    <w:p w14:paraId="3B665575">
      <w:pPr>
        <w:pStyle w:val="23"/>
        <w:ind w:firstLine="480"/>
        <w:rPr>
          <w:rFonts w:cs="Times New Roman"/>
        </w:rPr>
      </w:pPr>
      <w:r>
        <w:rPr>
          <w:rFonts w:cs="Times New Roman"/>
        </w:rPr>
        <w:t>煤化工CO</w:t>
      </w:r>
      <w:r>
        <w:rPr>
          <w:rFonts w:cs="Times New Roman"/>
          <w:vertAlign w:val="subscript"/>
        </w:rPr>
        <w:t>2</w:t>
      </w:r>
      <w:r>
        <w:rPr>
          <w:rFonts w:cs="Times New Roman"/>
        </w:rPr>
        <w:t>只与EWR结合的模式过于理想化，煤化工CO</w:t>
      </w:r>
      <w:r>
        <w:rPr>
          <w:rFonts w:cs="Times New Roman"/>
          <w:vertAlign w:val="subscript"/>
        </w:rPr>
        <w:t>2</w:t>
      </w:r>
      <w:r>
        <w:rPr>
          <w:rFonts w:cs="Times New Roman"/>
        </w:rPr>
        <w:t>与EWR及EOR结合才是更有可能。后者是指，将来自煤化工的高浓度CO</w:t>
      </w:r>
      <w:r>
        <w:rPr>
          <w:rFonts w:cs="Times New Roman"/>
          <w:vertAlign w:val="subscript"/>
        </w:rPr>
        <w:t>2</w:t>
      </w:r>
      <w:r>
        <w:rPr>
          <w:rFonts w:cs="Times New Roman"/>
        </w:rPr>
        <w:t>进行净化和压缩后通过管道运输到封存地点注入咸水层，部分CO</w:t>
      </w:r>
      <w:r>
        <w:rPr>
          <w:rFonts w:cs="Times New Roman"/>
          <w:vertAlign w:val="subscript"/>
        </w:rPr>
        <w:t>2</w:t>
      </w:r>
      <w:r>
        <w:rPr>
          <w:rFonts w:cs="Times New Roman"/>
        </w:rPr>
        <w:t>出售给油田进行EOR。这个操作在加拿大和美国已有先例。EWR可以为CO</w:t>
      </w:r>
      <w:r>
        <w:rPr>
          <w:rFonts w:cs="Times New Roman"/>
          <w:vertAlign w:val="subscript"/>
        </w:rPr>
        <w:t>2</w:t>
      </w:r>
      <w:r>
        <w:rPr>
          <w:rFonts w:cs="Times New Roman"/>
        </w:rPr>
        <w:t>需求多变的EOR提供缓冲作用，而EOR可以为整个CCUS项目提供额外收入。</w:t>
      </w:r>
    </w:p>
    <w:p w14:paraId="5FE92D50">
      <w:pPr>
        <w:pStyle w:val="23"/>
        <w:ind w:firstLine="480"/>
        <w:rPr>
          <w:rFonts w:cs="Times New Roman"/>
        </w:rPr>
      </w:pPr>
      <w:r>
        <w:rPr>
          <w:rFonts w:cs="Times New Roman"/>
        </w:rPr>
        <w:t>根据煤化工CO</w:t>
      </w:r>
      <w:r>
        <w:rPr>
          <w:rFonts w:cs="Times New Roman"/>
          <w:vertAlign w:val="subscript"/>
        </w:rPr>
        <w:t>2</w:t>
      </w:r>
      <w:r>
        <w:rPr>
          <w:rFonts w:cs="Times New Roman"/>
        </w:rPr>
        <w:t>源分布及EWR场地适宜性与EOR适宜油田分布，鄂尔多斯盆地、渤海湾盆地、松辽盆地和准噶尔盆地内有大量的有前景的源-汇匹配选择。这四个盆地中大部分大型煤化工企业都可以找到合适的含水层和油田来开展CCUS项。四个盆地内的36个煤化工CO</w:t>
      </w:r>
      <w:r>
        <w:rPr>
          <w:rFonts w:cs="Times New Roman"/>
          <w:vertAlign w:val="subscript"/>
        </w:rPr>
        <w:t>2</w:t>
      </w:r>
      <w:r>
        <w:rPr>
          <w:rFonts w:cs="Times New Roman"/>
        </w:rPr>
        <w:t>排放源中，25%的排放源在50km范围内存在地质封存点，33%的排放源在100km范围内存在封存点，11%的排放源在150km范围内没有明显合适的储存选择。</w:t>
      </w:r>
    </w:p>
    <w:p w14:paraId="0F7C3EAA">
      <w:pPr>
        <w:pStyle w:val="23"/>
        <w:ind w:firstLine="480"/>
        <w:rPr>
          <w:rFonts w:cs="Times New Roman"/>
        </w:rPr>
      </w:pPr>
      <w:r>
        <w:rPr>
          <w:rFonts w:cs="Times New Roman"/>
        </w:rPr>
        <w:t>选取四个盆地中的点作为封存场址，来自煤化工厂的60% CO</w:t>
      </w:r>
      <w:r>
        <w:rPr>
          <w:rFonts w:cs="Times New Roman"/>
          <w:vertAlign w:val="subscript"/>
        </w:rPr>
        <w:t>2</w:t>
      </w:r>
      <w:r>
        <w:rPr>
          <w:rFonts w:cs="Times New Roman"/>
        </w:rPr>
        <w:t>进行EWR封存，40%以20美元/吨卖给油田进行EOR，EOR生产井与注入井的比例为0.5。电力价格0.087美元/kwh，碳税价格15美元/吨CO</w:t>
      </w:r>
      <w:r>
        <w:rPr>
          <w:rFonts w:cs="Times New Roman"/>
          <w:vertAlign w:val="subscript"/>
        </w:rPr>
        <w:t>2</w:t>
      </w:r>
      <w:r>
        <w:rPr>
          <w:rFonts w:cs="Times New Roman"/>
        </w:rPr>
        <w:t>，折扣率0.12。其它主要参数如表。</w:t>
      </w:r>
    </w:p>
    <w:p w14:paraId="2C7CC91D">
      <w:pPr>
        <w:pStyle w:val="28"/>
        <w:rPr>
          <w:rFonts w:cs="Times New Roman"/>
        </w:rPr>
      </w:pPr>
      <w:r>
        <w:rPr>
          <w:rFonts w:cs="Times New Roman"/>
        </w:rPr>
        <w:t>表</w:t>
      </w:r>
      <w:r>
        <w:rPr>
          <w:rFonts w:cs="Times New Roman"/>
        </w:rPr>
        <w:fldChar w:fldCharType="begin"/>
      </w:r>
      <w:r>
        <w:rPr>
          <w:rFonts w:cs="Times New Roman"/>
        </w:rPr>
        <w:instrText xml:space="preserve"> SEQ 表 \* ARABIC </w:instrText>
      </w:r>
      <w:r>
        <w:rPr>
          <w:rFonts w:cs="Times New Roman"/>
        </w:rPr>
        <w:fldChar w:fldCharType="separate"/>
      </w:r>
      <w:r>
        <w:rPr>
          <w:rFonts w:cs="Times New Roman"/>
        </w:rPr>
        <w:t>9</w:t>
      </w:r>
      <w:r>
        <w:rPr>
          <w:rFonts w:cs="Times New Roman"/>
        </w:rPr>
        <w:fldChar w:fldCharType="end"/>
      </w:r>
      <w:r>
        <w:rPr>
          <w:rFonts w:cs="Times New Roman"/>
        </w:rPr>
        <w:t xml:space="preserve"> 典型CCUS项目参数</w:t>
      </w:r>
    </w:p>
    <w:tbl>
      <w:tblPr>
        <w:tblStyle w:val="17"/>
        <w:tblW w:w="5000" w:type="pct"/>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16"/>
        <w:gridCol w:w="1672"/>
        <w:gridCol w:w="1945"/>
        <w:gridCol w:w="1672"/>
        <w:gridCol w:w="1917"/>
      </w:tblGrid>
      <w:tr w14:paraId="2AEAEE81">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jc w:val="center"/>
        </w:trPr>
        <w:tc>
          <w:tcPr>
            <w:tcW w:w="772" w:type="pct"/>
            <w:tcBorders>
              <w:top w:val="single" w:color="auto" w:sz="12" w:space="0"/>
              <w:bottom w:val="single" w:color="auto" w:sz="8" w:space="0"/>
            </w:tcBorders>
            <w:vAlign w:val="center"/>
          </w:tcPr>
          <w:p w14:paraId="4A3C30B5">
            <w:pPr>
              <w:pStyle w:val="26"/>
            </w:pPr>
            <w:r>
              <w:t>系数</w:t>
            </w:r>
          </w:p>
        </w:tc>
        <w:tc>
          <w:tcPr>
            <w:tcW w:w="981" w:type="pct"/>
            <w:tcBorders>
              <w:top w:val="single" w:color="auto" w:sz="12" w:space="0"/>
              <w:bottom w:val="single" w:color="auto" w:sz="8" w:space="0"/>
            </w:tcBorders>
            <w:vAlign w:val="center"/>
          </w:tcPr>
          <w:p w14:paraId="02255B10">
            <w:pPr>
              <w:pStyle w:val="26"/>
            </w:pPr>
            <w:r>
              <w:t>案例1</w:t>
            </w:r>
          </w:p>
        </w:tc>
        <w:tc>
          <w:tcPr>
            <w:tcW w:w="1141" w:type="pct"/>
            <w:tcBorders>
              <w:top w:val="single" w:color="auto" w:sz="12" w:space="0"/>
              <w:bottom w:val="single" w:color="auto" w:sz="8" w:space="0"/>
            </w:tcBorders>
            <w:vAlign w:val="center"/>
          </w:tcPr>
          <w:p w14:paraId="6E2316FA">
            <w:pPr>
              <w:pStyle w:val="26"/>
            </w:pPr>
            <w:r>
              <w:t>案例2</w:t>
            </w:r>
          </w:p>
        </w:tc>
        <w:tc>
          <w:tcPr>
            <w:tcW w:w="981" w:type="pct"/>
            <w:tcBorders>
              <w:top w:val="single" w:color="auto" w:sz="12" w:space="0"/>
              <w:bottom w:val="single" w:color="auto" w:sz="8" w:space="0"/>
            </w:tcBorders>
            <w:vAlign w:val="center"/>
          </w:tcPr>
          <w:p w14:paraId="53356E6E">
            <w:pPr>
              <w:pStyle w:val="26"/>
            </w:pPr>
            <w:r>
              <w:t>案例3</w:t>
            </w:r>
          </w:p>
        </w:tc>
        <w:tc>
          <w:tcPr>
            <w:tcW w:w="1125" w:type="pct"/>
            <w:tcBorders>
              <w:top w:val="single" w:color="auto" w:sz="12" w:space="0"/>
              <w:bottom w:val="single" w:color="auto" w:sz="8" w:space="0"/>
            </w:tcBorders>
            <w:vAlign w:val="center"/>
          </w:tcPr>
          <w:p w14:paraId="43DA5B3C">
            <w:pPr>
              <w:pStyle w:val="26"/>
            </w:pPr>
            <w:r>
              <w:t>案例4</w:t>
            </w:r>
          </w:p>
        </w:tc>
      </w:tr>
      <w:tr w14:paraId="58A03845">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8" w:hRule="atLeast"/>
          <w:jc w:val="center"/>
        </w:trPr>
        <w:tc>
          <w:tcPr>
            <w:tcW w:w="772" w:type="pct"/>
            <w:tcBorders>
              <w:top w:val="single" w:color="auto" w:sz="8" w:space="0"/>
            </w:tcBorders>
            <w:vAlign w:val="center"/>
          </w:tcPr>
          <w:p w14:paraId="11CC9F50">
            <w:pPr>
              <w:pStyle w:val="26"/>
            </w:pPr>
            <w:r>
              <w:t>CO</w:t>
            </w:r>
            <w:r>
              <w:rPr>
                <w:vertAlign w:val="subscript"/>
              </w:rPr>
              <w:t>2</w:t>
            </w:r>
            <w:r>
              <w:t>排放源</w:t>
            </w:r>
          </w:p>
        </w:tc>
        <w:tc>
          <w:tcPr>
            <w:tcW w:w="981" w:type="pct"/>
            <w:tcBorders>
              <w:top w:val="single" w:color="auto" w:sz="8" w:space="0"/>
            </w:tcBorders>
            <w:vAlign w:val="center"/>
          </w:tcPr>
          <w:p w14:paraId="7208685F">
            <w:pPr>
              <w:pStyle w:val="26"/>
            </w:pPr>
            <w:r>
              <w:t>神华宁夏煤炭工业集团</w:t>
            </w:r>
          </w:p>
        </w:tc>
        <w:tc>
          <w:tcPr>
            <w:tcW w:w="1141" w:type="pct"/>
            <w:tcBorders>
              <w:top w:val="single" w:color="auto" w:sz="8" w:space="0"/>
            </w:tcBorders>
            <w:vAlign w:val="center"/>
          </w:tcPr>
          <w:p w14:paraId="4798FA13">
            <w:pPr>
              <w:pStyle w:val="26"/>
            </w:pPr>
            <w:r>
              <w:t>河北凯跃化工集团有限公司</w:t>
            </w:r>
          </w:p>
        </w:tc>
        <w:tc>
          <w:tcPr>
            <w:tcW w:w="981" w:type="pct"/>
            <w:tcBorders>
              <w:top w:val="single" w:color="auto" w:sz="8" w:space="0"/>
            </w:tcBorders>
            <w:vAlign w:val="center"/>
          </w:tcPr>
          <w:p w14:paraId="52BE8497">
            <w:pPr>
              <w:pStyle w:val="26"/>
            </w:pPr>
            <w:r>
              <w:t>通辽金煤化工有限公司</w:t>
            </w:r>
          </w:p>
        </w:tc>
        <w:tc>
          <w:tcPr>
            <w:tcW w:w="1125" w:type="pct"/>
            <w:tcBorders>
              <w:top w:val="single" w:color="auto" w:sz="8" w:space="0"/>
            </w:tcBorders>
            <w:vAlign w:val="center"/>
          </w:tcPr>
          <w:p w14:paraId="71F17EF4">
            <w:pPr>
              <w:pStyle w:val="26"/>
            </w:pPr>
            <w:r>
              <w:t>宝泰隆煤化(集团)有限公司</w:t>
            </w:r>
          </w:p>
        </w:tc>
      </w:tr>
      <w:tr w14:paraId="7797074D">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jc w:val="center"/>
        </w:trPr>
        <w:tc>
          <w:tcPr>
            <w:tcW w:w="772" w:type="pct"/>
            <w:vAlign w:val="center"/>
          </w:tcPr>
          <w:p w14:paraId="159BA2FC">
            <w:pPr>
              <w:pStyle w:val="26"/>
            </w:pPr>
            <w:r>
              <w:t>CO</w:t>
            </w:r>
            <w:r>
              <w:rPr>
                <w:vertAlign w:val="subscript"/>
              </w:rPr>
              <w:t>2</w:t>
            </w:r>
            <w:r>
              <w:t>处理量/Mt/a</w:t>
            </w:r>
          </w:p>
        </w:tc>
        <w:tc>
          <w:tcPr>
            <w:tcW w:w="981" w:type="pct"/>
            <w:vAlign w:val="center"/>
          </w:tcPr>
          <w:p w14:paraId="0EC850F3">
            <w:pPr>
              <w:pStyle w:val="26"/>
            </w:pPr>
            <w:r>
              <w:t>3.0</w:t>
            </w:r>
          </w:p>
        </w:tc>
        <w:tc>
          <w:tcPr>
            <w:tcW w:w="1141" w:type="pct"/>
            <w:vAlign w:val="center"/>
          </w:tcPr>
          <w:p w14:paraId="35D644FB">
            <w:pPr>
              <w:pStyle w:val="26"/>
            </w:pPr>
            <w:r>
              <w:t>4.0</w:t>
            </w:r>
          </w:p>
        </w:tc>
        <w:tc>
          <w:tcPr>
            <w:tcW w:w="981" w:type="pct"/>
            <w:vAlign w:val="center"/>
          </w:tcPr>
          <w:p w14:paraId="78212EB1">
            <w:pPr>
              <w:pStyle w:val="26"/>
            </w:pPr>
            <w:r>
              <w:t>3.2</w:t>
            </w:r>
          </w:p>
        </w:tc>
        <w:tc>
          <w:tcPr>
            <w:tcW w:w="1125" w:type="pct"/>
            <w:vAlign w:val="center"/>
          </w:tcPr>
          <w:p w14:paraId="2C093084">
            <w:pPr>
              <w:pStyle w:val="26"/>
            </w:pPr>
            <w:r>
              <w:t>1.6</w:t>
            </w:r>
          </w:p>
        </w:tc>
      </w:tr>
      <w:tr w14:paraId="5BB49E76">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jc w:val="center"/>
        </w:trPr>
        <w:tc>
          <w:tcPr>
            <w:tcW w:w="772" w:type="pct"/>
            <w:vAlign w:val="center"/>
          </w:tcPr>
          <w:p w14:paraId="77FFFC85">
            <w:pPr>
              <w:pStyle w:val="26"/>
            </w:pPr>
            <w:r>
              <w:t>水平渗透率/mD</w:t>
            </w:r>
          </w:p>
        </w:tc>
        <w:tc>
          <w:tcPr>
            <w:tcW w:w="981" w:type="pct"/>
            <w:vAlign w:val="center"/>
          </w:tcPr>
          <w:p w14:paraId="32877BB8">
            <w:pPr>
              <w:pStyle w:val="26"/>
            </w:pPr>
            <w:r>
              <w:t>12</w:t>
            </w:r>
          </w:p>
        </w:tc>
        <w:tc>
          <w:tcPr>
            <w:tcW w:w="1141" w:type="pct"/>
            <w:vAlign w:val="center"/>
          </w:tcPr>
          <w:p w14:paraId="12A20FFF">
            <w:pPr>
              <w:pStyle w:val="26"/>
            </w:pPr>
            <w:r>
              <w:t>60</w:t>
            </w:r>
          </w:p>
        </w:tc>
        <w:tc>
          <w:tcPr>
            <w:tcW w:w="981" w:type="pct"/>
            <w:vAlign w:val="center"/>
          </w:tcPr>
          <w:p w14:paraId="6E4C6E6B">
            <w:pPr>
              <w:pStyle w:val="26"/>
            </w:pPr>
            <w:r>
              <w:t>40</w:t>
            </w:r>
          </w:p>
        </w:tc>
        <w:tc>
          <w:tcPr>
            <w:tcW w:w="1125" w:type="pct"/>
            <w:vAlign w:val="center"/>
          </w:tcPr>
          <w:p w14:paraId="0534F556">
            <w:pPr>
              <w:pStyle w:val="26"/>
            </w:pPr>
            <w:r>
              <w:t>100</w:t>
            </w:r>
          </w:p>
        </w:tc>
      </w:tr>
      <w:tr w14:paraId="139EE71E">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772" w:type="pct"/>
            <w:vAlign w:val="center"/>
          </w:tcPr>
          <w:p w14:paraId="3B2FF3E0">
            <w:pPr>
              <w:pStyle w:val="26"/>
            </w:pPr>
            <w:r>
              <w:t>管道长度/km</w:t>
            </w:r>
          </w:p>
        </w:tc>
        <w:tc>
          <w:tcPr>
            <w:tcW w:w="981" w:type="pct"/>
            <w:vAlign w:val="center"/>
          </w:tcPr>
          <w:p w14:paraId="39ABBE81">
            <w:pPr>
              <w:pStyle w:val="26"/>
            </w:pPr>
            <w:r>
              <w:t>77</w:t>
            </w:r>
          </w:p>
        </w:tc>
        <w:tc>
          <w:tcPr>
            <w:tcW w:w="1141" w:type="pct"/>
            <w:vAlign w:val="center"/>
          </w:tcPr>
          <w:p w14:paraId="0CB82472">
            <w:pPr>
              <w:pStyle w:val="26"/>
            </w:pPr>
            <w:r>
              <w:t>45</w:t>
            </w:r>
          </w:p>
        </w:tc>
        <w:tc>
          <w:tcPr>
            <w:tcW w:w="981" w:type="pct"/>
            <w:vAlign w:val="center"/>
          </w:tcPr>
          <w:p w14:paraId="0F5AEB21">
            <w:pPr>
              <w:pStyle w:val="26"/>
            </w:pPr>
            <w:r>
              <w:t>50</w:t>
            </w:r>
          </w:p>
        </w:tc>
        <w:tc>
          <w:tcPr>
            <w:tcW w:w="1125" w:type="pct"/>
            <w:vAlign w:val="center"/>
          </w:tcPr>
          <w:p w14:paraId="2DFB0FEE">
            <w:pPr>
              <w:pStyle w:val="26"/>
            </w:pPr>
            <w:r>
              <w:t>60</w:t>
            </w:r>
          </w:p>
        </w:tc>
      </w:tr>
    </w:tbl>
    <w:p w14:paraId="52153294">
      <w:pPr>
        <w:pStyle w:val="23"/>
        <w:ind w:firstLine="480"/>
        <w:rPr>
          <w:rFonts w:cs="Times New Roman"/>
        </w:rPr>
      </w:pPr>
      <w:r>
        <w:rPr>
          <w:rFonts w:cs="Times New Roman"/>
        </w:rPr>
        <w:t>由于煤化工行业的点源为相对纯净的CO</w:t>
      </w:r>
      <w:r>
        <w:rPr>
          <w:rFonts w:cs="Times New Roman"/>
          <w:vertAlign w:val="subscript"/>
        </w:rPr>
        <w:t>2</w:t>
      </w:r>
      <w:r>
        <w:rPr>
          <w:rFonts w:cs="Times New Roman"/>
        </w:rPr>
        <w:t>流，脱水和压缩成本为12~13美元/吨CO</w:t>
      </w:r>
      <w:r>
        <w:rPr>
          <w:rFonts w:cs="Times New Roman"/>
          <w:vertAlign w:val="subscript"/>
        </w:rPr>
        <w:t>2</w:t>
      </w:r>
      <w:r>
        <w:rPr>
          <w:rFonts w:cs="Times New Roman"/>
        </w:rPr>
        <w:t>，根据项目距离和规模，管道输送CO</w:t>
      </w:r>
      <w:r>
        <w:rPr>
          <w:rFonts w:cs="Times New Roman"/>
          <w:vertAlign w:val="subscript"/>
        </w:rPr>
        <w:t>2</w:t>
      </w:r>
      <w:r>
        <w:rPr>
          <w:rFonts w:cs="Times New Roman"/>
        </w:rPr>
        <w:t>的平准化成本为1~2美元/吨CO</w:t>
      </w:r>
      <w:r>
        <w:rPr>
          <w:rFonts w:cs="Times New Roman"/>
          <w:vertAlign w:val="subscript"/>
        </w:rPr>
        <w:t>2</w:t>
      </w:r>
      <w:r>
        <w:rPr>
          <w:rFonts w:cs="Times New Roman"/>
        </w:rPr>
        <w:t>。根据储层性质，CO</w:t>
      </w:r>
      <w:r>
        <w:rPr>
          <w:rFonts w:cs="Times New Roman"/>
          <w:vertAlign w:val="subscript"/>
        </w:rPr>
        <w:t>2</w:t>
      </w:r>
      <w:r>
        <w:rPr>
          <w:rFonts w:cs="Times New Roman"/>
        </w:rPr>
        <w:t>的储存成本从1美元到3美元/吨不等。CO</w:t>
      </w:r>
      <w:r>
        <w:rPr>
          <w:rFonts w:cs="Times New Roman"/>
          <w:vertAlign w:val="subscript"/>
        </w:rPr>
        <w:t>2</w:t>
      </w:r>
      <w:r>
        <w:rPr>
          <w:rFonts w:cs="Times New Roman"/>
        </w:rPr>
        <w:t>捕集和EWR封存的成本在14~17美元/吨CO</w:t>
      </w:r>
      <w:r>
        <w:rPr>
          <w:rFonts w:cs="Times New Roman"/>
          <w:vertAlign w:val="subscript"/>
        </w:rPr>
        <w:t>2</w:t>
      </w:r>
      <w:r>
        <w:rPr>
          <w:rFonts w:cs="Times New Roman"/>
        </w:rPr>
        <w:t>，如果考虑15美元/吨的CO</w:t>
      </w:r>
      <w:r>
        <w:rPr>
          <w:rFonts w:cs="Times New Roman"/>
          <w:vertAlign w:val="subscript"/>
        </w:rPr>
        <w:t>2</w:t>
      </w:r>
      <w:r>
        <w:rPr>
          <w:rFonts w:cs="Times New Roman"/>
        </w:rPr>
        <w:t>税和20美元/吨卖至EOR的收入，CCUS项目的平准化成本为负，表明这些CCUS项目具有净经济效益。</w:t>
      </w:r>
    </w:p>
    <w:p w14:paraId="3C8A0AD6">
      <w:pPr>
        <w:pStyle w:val="4"/>
        <w:spacing w:before="156" w:after="156"/>
      </w:pPr>
      <w:bookmarkStart w:id="18" w:name="_Toc184600173"/>
      <w:r>
        <w:rPr>
          <w:rFonts w:hint="eastAsia"/>
        </w:rPr>
        <w:t>煤化工碳捕集项目实例</w:t>
      </w:r>
      <w:bookmarkEnd w:id="18"/>
    </w:p>
    <w:p w14:paraId="7906F5B8">
      <w:pPr>
        <w:pStyle w:val="23"/>
        <w:ind w:firstLine="482"/>
        <w:rPr>
          <w:rFonts w:cs="Times New Roman"/>
          <w:b/>
          <w:bCs/>
        </w:rPr>
      </w:pPr>
      <w:r>
        <w:rPr>
          <w:rFonts w:cs="Times New Roman"/>
          <w:b/>
          <w:bCs/>
        </w:rPr>
        <w:t>神华十万吨CO</w:t>
      </w:r>
      <w:r>
        <w:rPr>
          <w:rFonts w:cs="Times New Roman"/>
          <w:b/>
          <w:bCs/>
          <w:vertAlign w:val="subscript"/>
        </w:rPr>
        <w:t>2</w:t>
      </w:r>
      <w:r>
        <w:rPr>
          <w:rFonts w:cs="Times New Roman"/>
          <w:b/>
          <w:bCs/>
        </w:rPr>
        <w:t>捕集与封存实例</w:t>
      </w:r>
      <w:r>
        <w:rPr>
          <w:rFonts w:hint="eastAsia" w:cs="Times New Roman"/>
          <w:b/>
          <w:bCs/>
        </w:rPr>
        <w:t>：</w:t>
      </w:r>
    </w:p>
    <w:p w14:paraId="720BD06A">
      <w:pPr>
        <w:pStyle w:val="23"/>
        <w:ind w:firstLine="480"/>
        <w:rPr>
          <w:rFonts w:cs="Times New Roman"/>
        </w:rPr>
      </w:pPr>
      <w:r>
        <w:rPr>
          <w:rFonts w:cs="Times New Roman"/>
        </w:rPr>
        <w:t>原神华集团108万吨/年煤炭直接液化制油工程的10万吨/年CCS示范项目是目前示范效果最好的煤制油工艺碳排放与治理项目。该示范项目是中国第一个全流程CCS示范项目，首次实现了煤化工高浓度CO</w:t>
      </w:r>
      <w:r>
        <w:rPr>
          <w:rFonts w:cs="Times New Roman"/>
          <w:vertAlign w:val="subscript"/>
        </w:rPr>
        <w:t>2</w:t>
      </w:r>
      <w:r>
        <w:rPr>
          <w:rFonts w:cs="Times New Roman"/>
        </w:rPr>
        <w:t>排放源捕集工艺与深部咸水层CO</w:t>
      </w:r>
      <w:r>
        <w:rPr>
          <w:rFonts w:cs="Times New Roman"/>
          <w:vertAlign w:val="subscript"/>
        </w:rPr>
        <w:t>2</w:t>
      </w:r>
      <w:r>
        <w:rPr>
          <w:rFonts w:cs="Times New Roman"/>
        </w:rPr>
        <w:t>封存工艺的结合。</w:t>
      </w:r>
    </w:p>
    <w:p w14:paraId="4A475EB4">
      <w:pPr>
        <w:pStyle w:val="23"/>
        <w:ind w:firstLine="480"/>
        <w:rPr>
          <w:rFonts w:cs="Times New Roman"/>
        </w:rPr>
      </w:pPr>
      <w:r>
        <w:rPr>
          <w:rFonts w:cs="Times New Roman"/>
        </w:rPr>
        <w:t>神华集团从2002年开始建设煤炭直接液化示范工程，利用煤炭为原料生产液化气、石脑油、柴油等液体产品。该示范工程包括锅炉、蒸汽发电、循环水场等公用工程设施，包括空分、煤制氢等生产氢气原料的装置，包括备煤、催化剂制备、煤液化、加氢稳定、加氢改质等煤炭制油品装置，也包括产品净化装置和环保装置。采用干煤粉气化生产煤炭加氢液化所需要的氢气，同时排出高浓度CO</w:t>
      </w:r>
      <w:r>
        <w:rPr>
          <w:rFonts w:cs="Times New Roman"/>
          <w:vertAlign w:val="subscript"/>
        </w:rPr>
        <w:t>2</w:t>
      </w:r>
      <w:r>
        <w:rPr>
          <w:rFonts w:cs="Times New Roman"/>
        </w:rPr>
        <w:t>气体，而煤炭直接液化示范工程附近也具备了CCS的地质条件。</w:t>
      </w:r>
    </w:p>
    <w:p w14:paraId="2F090452">
      <w:pPr>
        <w:pStyle w:val="23"/>
        <w:ind w:firstLine="480"/>
        <w:rPr>
          <w:rFonts w:cs="Times New Roman"/>
        </w:rPr>
      </w:pPr>
      <w:r>
        <w:rPr>
          <w:rFonts w:cs="Times New Roman"/>
        </w:rPr>
        <w:t>2010年6月，神华10万吨CCS示范项目开工建设，历时半年，完成了捕集液化区、贮存装卸区及封存区的建设。自2011年1月2日和1月6日成功将121t超临界状态液体CO</w:t>
      </w:r>
      <w:r>
        <w:rPr>
          <w:rFonts w:cs="Times New Roman"/>
          <w:vertAlign w:val="subscript"/>
        </w:rPr>
        <w:t>2</w:t>
      </w:r>
      <w:r>
        <w:rPr>
          <w:rFonts w:cs="Times New Roman"/>
        </w:rPr>
        <w:t>注入山西组地层和非压裂的石盒子地层以来，神华CCS项目注入量不断增加。2011年1月投产试注成功并实现连续注入与监测。目前，项目已完成实现总注入量30万吨的建设目标，取得了良好的示范效果。</w:t>
      </w:r>
    </w:p>
    <w:p w14:paraId="07F78AF8">
      <w:pPr>
        <w:pStyle w:val="23"/>
        <w:ind w:firstLine="480"/>
        <w:rPr>
          <w:rFonts w:cs="Times New Roman"/>
        </w:rPr>
      </w:pPr>
      <w:r>
        <w:rPr>
          <w:rFonts w:cs="Times New Roman"/>
        </w:rPr>
        <w:t>该项目的CO</w:t>
      </w:r>
      <w:r>
        <w:rPr>
          <w:rFonts w:cs="Times New Roman"/>
          <w:vertAlign w:val="subscript"/>
        </w:rPr>
        <w:t>2</w:t>
      </w:r>
      <w:r>
        <w:rPr>
          <w:rFonts w:cs="Times New Roman"/>
        </w:rPr>
        <w:t>捕集装置由中国化学工程集团公司所属的五环工程有限公司承担设计，捕集装置的生产规模为10万吨/年，CO</w:t>
      </w:r>
      <w:r>
        <w:rPr>
          <w:rFonts w:cs="Times New Roman"/>
          <w:vertAlign w:val="subscript"/>
        </w:rPr>
        <w:t>2</w:t>
      </w:r>
      <w:r>
        <w:rPr>
          <w:rFonts w:cs="Times New Roman"/>
        </w:rPr>
        <w:t>纯度为99.2%。根据目前的设计注入规模，采用低温液体槽车运输。该示范工程利用鄂尔多斯煤气化制氢装置排放的CO</w:t>
      </w:r>
      <w:r>
        <w:rPr>
          <w:rFonts w:cs="Times New Roman"/>
          <w:vertAlign w:val="subscript"/>
        </w:rPr>
        <w:t>2</w:t>
      </w:r>
      <w:r>
        <w:rPr>
          <w:rFonts w:cs="Times New Roman"/>
        </w:rPr>
        <w:t>尾气，经捕集、提纯、液化后，由槽车运送至封存地点后加压升温，以超临界状态注入到深部咸水层。</w:t>
      </w:r>
    </w:p>
    <w:p w14:paraId="3E9B0304">
      <w:pPr>
        <w:pStyle w:val="23"/>
        <w:ind w:firstLine="480"/>
        <w:rPr>
          <w:rFonts w:cs="Times New Roman"/>
        </w:rPr>
      </w:pPr>
      <w:r>
        <w:rPr>
          <w:rFonts w:cs="Times New Roman"/>
        </w:rPr>
        <w:t>（1）煤直接液化项目CO</w:t>
      </w:r>
      <w:r>
        <w:rPr>
          <w:rFonts w:cs="Times New Roman"/>
          <w:vertAlign w:val="subscript"/>
        </w:rPr>
        <w:t>2</w:t>
      </w:r>
      <w:r>
        <w:rPr>
          <w:rFonts w:cs="Times New Roman"/>
        </w:rPr>
        <w:t>排放情况</w:t>
      </w:r>
    </w:p>
    <w:p w14:paraId="5BCF8FC3">
      <w:pPr>
        <w:pStyle w:val="23"/>
        <w:ind w:firstLine="480"/>
        <w:rPr>
          <w:rFonts w:cs="Times New Roman"/>
        </w:rPr>
      </w:pPr>
      <w:r>
        <w:rPr>
          <w:rFonts w:cs="Times New Roman"/>
        </w:rPr>
        <w:t>神华煤炭直接液化项目正常生产过程中，一部分煤中的碳以CO</w:t>
      </w:r>
      <w:r>
        <w:rPr>
          <w:rFonts w:cs="Times New Roman"/>
          <w:vertAlign w:val="subscript"/>
        </w:rPr>
        <w:t>2</w:t>
      </w:r>
      <w:r>
        <w:rPr>
          <w:rFonts w:cs="Times New Roman"/>
        </w:rPr>
        <w:t>的形式排放。排放的CO</w:t>
      </w:r>
      <w:r>
        <w:rPr>
          <w:rFonts w:cs="Times New Roman"/>
          <w:vertAlign w:val="subscript"/>
        </w:rPr>
        <w:t>2</w:t>
      </w:r>
      <w:r>
        <w:rPr>
          <w:rFonts w:cs="Times New Roman"/>
        </w:rPr>
        <w:t>来源主要包括：Shell气化所用煤炭中的碳，碳转化率大于99%，大部分碳在气化和变换过程中转化成CO</w:t>
      </w:r>
      <w:r>
        <w:rPr>
          <w:rFonts w:cs="Times New Roman"/>
          <w:vertAlign w:val="subscript"/>
        </w:rPr>
        <w:t>2</w:t>
      </w:r>
      <w:r>
        <w:rPr>
          <w:rFonts w:cs="Times New Roman"/>
        </w:rPr>
        <w:t>并排放到大气中，少量碳转入PSA尾气等地方，燃烧后也生成CO</w:t>
      </w:r>
      <w:r>
        <w:rPr>
          <w:rFonts w:cs="Times New Roman"/>
          <w:vertAlign w:val="subscript"/>
        </w:rPr>
        <w:t>2</w:t>
      </w:r>
      <w:r>
        <w:rPr>
          <w:rFonts w:cs="Times New Roman"/>
        </w:rPr>
        <w:t>并排放到大气中；煤炭直接液化过程中，大部分碳转至油品中，部分进入残渣中，少量碳存在于过程产生的干气中，作为工艺燃料气燃烧后全部以CO</w:t>
      </w:r>
      <w:r>
        <w:rPr>
          <w:rFonts w:cs="Times New Roman"/>
          <w:vertAlign w:val="subscript"/>
        </w:rPr>
        <w:t>2</w:t>
      </w:r>
      <w:r>
        <w:rPr>
          <w:rFonts w:cs="Times New Roman"/>
        </w:rPr>
        <w:t>的形态排入大气；加热炉使用外来天然气，燃烧后产生CO</w:t>
      </w:r>
      <w:r>
        <w:rPr>
          <w:rFonts w:cs="Times New Roman"/>
          <w:vertAlign w:val="subscript"/>
        </w:rPr>
        <w:t>2</w:t>
      </w:r>
      <w:r>
        <w:rPr>
          <w:rFonts w:cs="Times New Roman"/>
        </w:rPr>
        <w:t>并排入大气；锅炉使用煤燃烧产生蒸汽和电力用于工艺等使用，煤中的碳以CO</w:t>
      </w:r>
      <w:r>
        <w:rPr>
          <w:rFonts w:cs="Times New Roman"/>
          <w:vertAlign w:val="subscript"/>
        </w:rPr>
        <w:t>2</w:t>
      </w:r>
      <w:r>
        <w:rPr>
          <w:rFonts w:cs="Times New Roman"/>
        </w:rPr>
        <w:t>的形式排入大气中。该项目每生产1t液化油品排放的CO</w:t>
      </w:r>
      <w:r>
        <w:rPr>
          <w:rFonts w:cs="Times New Roman"/>
          <w:vertAlign w:val="subscript"/>
        </w:rPr>
        <w:t>2</w:t>
      </w:r>
      <w:r>
        <w:rPr>
          <w:rFonts w:cs="Times New Roman"/>
        </w:rPr>
        <w:t>为5.7t，其中工艺排放为3.33t。煤制氢低温甲醇洗单元和锅炉燃烧是CO</w:t>
      </w:r>
      <w:r>
        <w:rPr>
          <w:rFonts w:cs="Times New Roman"/>
          <w:vertAlign w:val="subscript"/>
        </w:rPr>
        <w:t>2</w:t>
      </w:r>
      <w:r>
        <w:rPr>
          <w:rFonts w:cs="Times New Roman"/>
        </w:rPr>
        <w:t>主要排放源，而煤制氢低温甲醇洗单元的CO</w:t>
      </w:r>
      <w:r>
        <w:rPr>
          <w:rFonts w:cs="Times New Roman"/>
          <w:vertAlign w:val="subscript"/>
        </w:rPr>
        <w:t>2</w:t>
      </w:r>
      <w:r>
        <w:rPr>
          <w:rFonts w:cs="Times New Roman"/>
        </w:rPr>
        <w:t>浓度为87.6%，降低了CO</w:t>
      </w:r>
      <w:r>
        <w:rPr>
          <w:rFonts w:cs="Times New Roman"/>
          <w:vertAlign w:val="subscript"/>
        </w:rPr>
        <w:t>2</w:t>
      </w:r>
      <w:r>
        <w:rPr>
          <w:rFonts w:cs="Times New Roman"/>
        </w:rPr>
        <w:t>气体捕集的难度。</w:t>
      </w:r>
    </w:p>
    <w:p w14:paraId="44CB077A">
      <w:pPr>
        <w:pStyle w:val="23"/>
        <w:ind w:firstLine="480"/>
        <w:rPr>
          <w:rFonts w:cs="Times New Roman"/>
        </w:rPr>
      </w:pPr>
      <w:r>
        <w:rPr>
          <w:rFonts w:cs="Times New Roman"/>
        </w:rPr>
        <w:t>（2）CO</w:t>
      </w:r>
      <w:r>
        <w:rPr>
          <w:rFonts w:cs="Times New Roman"/>
          <w:vertAlign w:val="subscript"/>
        </w:rPr>
        <w:t>2</w:t>
      </w:r>
      <w:r>
        <w:rPr>
          <w:rFonts w:cs="Times New Roman"/>
        </w:rPr>
        <w:t>捕集方式</w:t>
      </w:r>
    </w:p>
    <w:p w14:paraId="3BEAB2C8">
      <w:pPr>
        <w:pStyle w:val="23"/>
        <w:ind w:firstLine="480"/>
        <w:rPr>
          <w:rFonts w:cs="Times New Roman"/>
        </w:rPr>
      </w:pPr>
      <w:r>
        <w:rPr>
          <w:rFonts w:cs="Times New Roman"/>
        </w:rPr>
        <w:t>对神华煤制油项目而言，煤制油化工过程排放的大部分CO</w:t>
      </w:r>
      <w:r>
        <w:rPr>
          <w:rFonts w:cs="Times New Roman"/>
          <w:vertAlign w:val="subscript"/>
        </w:rPr>
        <w:t>2</w:t>
      </w:r>
      <w:r>
        <w:rPr>
          <w:rFonts w:cs="Times New Roman"/>
        </w:rPr>
        <w:t>已经具有较高的浓度，实施CO</w:t>
      </w:r>
      <w:r>
        <w:rPr>
          <w:rFonts w:cs="Times New Roman"/>
          <w:vertAlign w:val="subscript"/>
        </w:rPr>
        <w:t>2</w:t>
      </w:r>
      <w:r>
        <w:rPr>
          <w:rFonts w:cs="Times New Roman"/>
        </w:rPr>
        <w:t>捕集的成本很低。经过技术比较，选择低温甲醇洗工艺耦合加压液化及精馏工艺获得封存需要的高浓度CO</w:t>
      </w:r>
      <w:r>
        <w:rPr>
          <w:rFonts w:cs="Times New Roman"/>
          <w:vertAlign w:val="subscript"/>
        </w:rPr>
        <w:t>2</w:t>
      </w:r>
      <w:r>
        <w:rPr>
          <w:rFonts w:cs="Times New Roman"/>
        </w:rPr>
        <w:t>。首先来自煤气化低温甲醇洗单元的CO</w:t>
      </w:r>
      <w:r>
        <w:rPr>
          <w:rFonts w:cs="Times New Roman"/>
          <w:vertAlign w:val="subscript"/>
        </w:rPr>
        <w:t>2</w:t>
      </w:r>
      <w:r>
        <w:rPr>
          <w:rFonts w:cs="Times New Roman"/>
        </w:rPr>
        <w:t>气体，经过压缩机加压至约5.0 MPa，先后脱除所含的油类、硫化物、烃类等杂质，再通过变温吸附脱除CO</w:t>
      </w:r>
      <w:r>
        <w:rPr>
          <w:rFonts w:cs="Times New Roman"/>
          <w:vertAlign w:val="subscript"/>
        </w:rPr>
        <w:t>2</w:t>
      </w:r>
      <w:r>
        <w:rPr>
          <w:rFonts w:cs="Times New Roman"/>
        </w:rPr>
        <w:t>气体中的甲醇、水等杂质。在通过液氨气化制冷将气体CO</w:t>
      </w:r>
      <w:r>
        <w:rPr>
          <w:rFonts w:cs="Times New Roman"/>
          <w:vertAlign w:val="subscript"/>
        </w:rPr>
        <w:t>2</w:t>
      </w:r>
      <w:r>
        <w:rPr>
          <w:rFonts w:cs="Times New Roman"/>
        </w:rPr>
        <w:t>变成为液态CO</w:t>
      </w:r>
      <w:r>
        <w:rPr>
          <w:rFonts w:cs="Times New Roman"/>
          <w:vertAlign w:val="subscript"/>
        </w:rPr>
        <w:t>2</w:t>
      </w:r>
      <w:r>
        <w:rPr>
          <w:rFonts w:cs="Times New Roman"/>
        </w:rPr>
        <w:t>，最后进入精馏塔进一步提纯。</w:t>
      </w:r>
    </w:p>
    <w:p w14:paraId="35D965DE">
      <w:pPr>
        <w:pStyle w:val="23"/>
        <w:ind w:firstLine="480"/>
        <w:rPr>
          <w:rFonts w:cs="Times New Roman"/>
        </w:rPr>
      </w:pPr>
      <w:r>
        <w:rPr>
          <w:rFonts w:cs="Times New Roman"/>
        </w:rPr>
        <w:t>（3）CO</w:t>
      </w:r>
      <w:r>
        <w:rPr>
          <w:rFonts w:cs="Times New Roman"/>
          <w:vertAlign w:val="subscript"/>
        </w:rPr>
        <w:t>2</w:t>
      </w:r>
      <w:r>
        <w:rPr>
          <w:rFonts w:cs="Times New Roman"/>
        </w:rPr>
        <w:t>运输</w:t>
      </w:r>
    </w:p>
    <w:p w14:paraId="7025CCDD">
      <w:pPr>
        <w:pStyle w:val="23"/>
        <w:ind w:firstLine="480"/>
        <w:rPr>
          <w:rFonts w:cs="Times New Roman"/>
        </w:rPr>
      </w:pPr>
      <w:r>
        <w:rPr>
          <w:rFonts w:cs="Times New Roman"/>
        </w:rPr>
        <w:t>考虑地质条件、项目实施情况、成本核算、安全环保等各方面因素，该项目CO</w:t>
      </w:r>
      <w:r>
        <w:rPr>
          <w:rFonts w:cs="Times New Roman"/>
          <w:vertAlign w:val="subscript"/>
        </w:rPr>
        <w:t>2</w:t>
      </w:r>
      <w:r>
        <w:rPr>
          <w:rFonts w:cs="Times New Roman"/>
        </w:rPr>
        <w:t>的运输方式采用汽车运输。在液化厂里将压缩好的高浓度液态CO</w:t>
      </w:r>
      <w:r>
        <w:rPr>
          <w:rFonts w:cs="Times New Roman"/>
          <w:vertAlign w:val="subscript"/>
        </w:rPr>
        <w:t>2</w:t>
      </w:r>
      <w:r>
        <w:rPr>
          <w:rFonts w:cs="Times New Roman"/>
        </w:rPr>
        <w:t>用管道输送到罐区的CO</w:t>
      </w:r>
      <w:r>
        <w:rPr>
          <w:rFonts w:cs="Times New Roman"/>
          <w:vertAlign w:val="subscript"/>
        </w:rPr>
        <w:t>2</w:t>
      </w:r>
      <w:r>
        <w:rPr>
          <w:rFonts w:cs="Times New Roman"/>
        </w:rPr>
        <w:t>球罐中，再通过CO</w:t>
      </w:r>
      <w:r>
        <w:rPr>
          <w:rFonts w:cs="Times New Roman"/>
          <w:vertAlign w:val="subscript"/>
        </w:rPr>
        <w:t>2</w:t>
      </w:r>
      <w:r>
        <w:rPr>
          <w:rFonts w:cs="Times New Roman"/>
        </w:rPr>
        <w:t>运输车自带的装车泵装车，从而将CO</w:t>
      </w:r>
      <w:r>
        <w:rPr>
          <w:rFonts w:cs="Times New Roman"/>
          <w:vertAlign w:val="subscript"/>
        </w:rPr>
        <w:t>2</w:t>
      </w:r>
      <w:r>
        <w:rPr>
          <w:rFonts w:cs="Times New Roman"/>
        </w:rPr>
        <w:t>运输至封存区。整个过程考虑了当地气温低、封存区和捕集区距离、工期和年封存量等因素。</w:t>
      </w:r>
    </w:p>
    <w:p w14:paraId="7531249B">
      <w:pPr>
        <w:pStyle w:val="23"/>
        <w:ind w:firstLine="480"/>
        <w:rPr>
          <w:rFonts w:cs="Times New Roman"/>
        </w:rPr>
      </w:pPr>
      <w:r>
        <w:rPr>
          <w:rFonts w:cs="Times New Roman"/>
        </w:rPr>
        <w:t>（4）CO</w:t>
      </w:r>
      <w:r>
        <w:rPr>
          <w:rFonts w:cs="Times New Roman"/>
          <w:vertAlign w:val="subscript"/>
        </w:rPr>
        <w:t>2</w:t>
      </w:r>
      <w:r>
        <w:rPr>
          <w:rFonts w:cs="Times New Roman"/>
        </w:rPr>
        <w:t>的地质封存</w:t>
      </w:r>
    </w:p>
    <w:p w14:paraId="795644EB">
      <w:pPr>
        <w:pStyle w:val="23"/>
        <w:ind w:firstLine="480"/>
        <w:rPr>
          <w:rFonts w:cs="Times New Roman"/>
        </w:rPr>
      </w:pPr>
      <w:r>
        <w:rPr>
          <w:rFonts w:cs="Times New Roman"/>
        </w:rPr>
        <w:t>CO</w:t>
      </w:r>
      <w:r>
        <w:rPr>
          <w:rFonts w:cs="Times New Roman"/>
          <w:vertAlign w:val="subscript"/>
        </w:rPr>
        <w:t>2</w:t>
      </w:r>
      <w:r>
        <w:rPr>
          <w:rFonts w:cs="Times New Roman"/>
        </w:rPr>
        <w:t>封存潜力主要考虑封存的安全和可靠性问题，以及较好的封存潜力（包括封存的总资源量和可注入性等）。鄂尔多斯盆地内利用含盐水地层埋藏CO</w:t>
      </w:r>
      <w:r>
        <w:rPr>
          <w:rFonts w:cs="Times New Roman"/>
          <w:vertAlign w:val="subscript"/>
        </w:rPr>
        <w:t>2</w:t>
      </w:r>
      <w:r>
        <w:rPr>
          <w:rFonts w:cs="Times New Roman"/>
        </w:rPr>
        <w:t>的地质条件优越。本项目地面注入装置方案为通过CO</w:t>
      </w:r>
      <w:r>
        <w:rPr>
          <w:rFonts w:cs="Times New Roman"/>
          <w:vertAlign w:val="subscript"/>
        </w:rPr>
        <w:t>2</w:t>
      </w:r>
      <w:r>
        <w:rPr>
          <w:rFonts w:cs="Times New Roman"/>
        </w:rPr>
        <w:t>运输车运到井场的液态CO</w:t>
      </w:r>
      <w:r>
        <w:rPr>
          <w:rFonts w:cs="Times New Roman"/>
          <w:vertAlign w:val="subscript"/>
        </w:rPr>
        <w:t>2</w:t>
      </w:r>
      <w:r>
        <w:rPr>
          <w:rFonts w:cs="Times New Roman"/>
        </w:rPr>
        <w:t>先储存于井场储存罐中，再利用加压泵加压到注入压力，同时加温到注入温度后注入井内。为取得注入的各项参数，在地面管线中增加温度、压力与流量测量仪器，建立监控室对注入的CO</w:t>
      </w:r>
      <w:r>
        <w:rPr>
          <w:rFonts w:cs="Times New Roman"/>
          <w:vertAlign w:val="subscript"/>
        </w:rPr>
        <w:t>2</w:t>
      </w:r>
      <w:r>
        <w:rPr>
          <w:rFonts w:cs="Times New Roman"/>
        </w:rPr>
        <w:t>进行全程监测，同时记录下注入的全部历史数据。</w:t>
      </w:r>
    </w:p>
    <w:p w14:paraId="7D9ED9E3">
      <w:pPr>
        <w:pStyle w:val="23"/>
        <w:ind w:firstLine="480"/>
        <w:rPr>
          <w:rFonts w:cs="Times New Roman"/>
        </w:rPr>
      </w:pPr>
      <w:r>
        <w:rPr>
          <w:rFonts w:cs="Times New Roman"/>
        </w:rPr>
        <w:t>神华CCS项目在运行实践中取得了多项示范性工程成果，探索了我国CCS在煤制油工艺中的应用。实施了灰岩中的CO</w:t>
      </w:r>
      <w:r>
        <w:rPr>
          <w:rFonts w:cs="Times New Roman"/>
          <w:vertAlign w:val="subscript"/>
        </w:rPr>
        <w:t>2</w:t>
      </w:r>
      <w:r>
        <w:rPr>
          <w:rFonts w:cs="Times New Roman"/>
        </w:rPr>
        <w:t>封存，对于扩大CCS项目应用范围，为鄂尔多斯盆地其他CO</w:t>
      </w:r>
      <w:r>
        <w:rPr>
          <w:rFonts w:cs="Times New Roman"/>
          <w:vertAlign w:val="subscript"/>
        </w:rPr>
        <w:t>2</w:t>
      </w:r>
      <w:r>
        <w:rPr>
          <w:rFonts w:cs="Times New Roman"/>
        </w:rPr>
        <w:t>排放源的封存问题提供了新的解决方案。</w:t>
      </w:r>
    </w:p>
    <w:p w14:paraId="42CC40F9">
      <w:pPr>
        <w:pStyle w:val="23"/>
        <w:ind w:firstLine="482"/>
        <w:rPr>
          <w:b/>
          <w:bCs/>
        </w:rPr>
      </w:pPr>
      <w:r>
        <w:rPr>
          <w:b/>
          <w:bCs/>
        </w:rPr>
        <w:t>延长石油CO</w:t>
      </w:r>
      <w:r>
        <w:rPr>
          <w:b/>
          <w:bCs/>
          <w:vertAlign w:val="subscript"/>
        </w:rPr>
        <w:t>2</w:t>
      </w:r>
      <w:r>
        <w:rPr>
          <w:b/>
          <w:bCs/>
        </w:rPr>
        <w:t>驱油技术及地质检测项目</w:t>
      </w:r>
      <w:r>
        <w:rPr>
          <w:rFonts w:hint="eastAsia"/>
          <w:b/>
          <w:bCs/>
        </w:rPr>
        <w:t>：</w:t>
      </w:r>
    </w:p>
    <w:p w14:paraId="339A4CE2">
      <w:pPr>
        <w:pStyle w:val="23"/>
        <w:ind w:firstLine="480"/>
        <w:rPr>
          <w:rFonts w:cs="Times New Roman"/>
        </w:rPr>
      </w:pPr>
      <w:r>
        <w:rPr>
          <w:rFonts w:cs="Times New Roman"/>
        </w:rPr>
        <w:t>地处鄂尔多斯盆地的延长石油，一方面通过油气煤综合利用，实现碳氢互补制甲醇，降低能耗减少CO</w:t>
      </w:r>
      <w:r>
        <w:rPr>
          <w:rFonts w:cs="Times New Roman"/>
          <w:vertAlign w:val="subscript"/>
        </w:rPr>
        <w:t>2</w:t>
      </w:r>
      <w:r>
        <w:rPr>
          <w:rFonts w:cs="Times New Roman"/>
        </w:rPr>
        <w:t>排放量，开创了煤化工节能减排的新思路；另一方面开展一体化CCUS实践工作，捕集煤化工厂排放的CO</w:t>
      </w:r>
      <w:r>
        <w:rPr>
          <w:rFonts w:cs="Times New Roman"/>
          <w:vertAlign w:val="subscript"/>
        </w:rPr>
        <w:t>2</w:t>
      </w:r>
      <w:r>
        <w:rPr>
          <w:rFonts w:cs="Times New Roman"/>
        </w:rPr>
        <w:t>用于提高原油采收率，并实现CO</w:t>
      </w:r>
      <w:r>
        <w:rPr>
          <w:rFonts w:cs="Times New Roman"/>
          <w:vertAlign w:val="subscript"/>
        </w:rPr>
        <w:t>2</w:t>
      </w:r>
      <w:r>
        <w:rPr>
          <w:rFonts w:cs="Times New Roman"/>
        </w:rPr>
        <w:t>的地质封存。目前，延长石油煤化工CO</w:t>
      </w:r>
      <w:r>
        <w:rPr>
          <w:rFonts w:cs="Times New Roman"/>
          <w:vertAlign w:val="subscript"/>
        </w:rPr>
        <w:t>2</w:t>
      </w:r>
      <w:r>
        <w:rPr>
          <w:rFonts w:cs="Times New Roman"/>
        </w:rPr>
        <w:t>捕集项目主要包括：</w:t>
      </w:r>
      <w:r>
        <w:rPr>
          <w:rFonts w:hint="eastAsia" w:ascii="宋体" w:hAnsi="宋体"/>
        </w:rPr>
        <w:t>①</w:t>
      </w:r>
      <w:r>
        <w:rPr>
          <w:rFonts w:cs="Times New Roman"/>
        </w:rPr>
        <w:t>榆林煤化5万t/a CO</w:t>
      </w:r>
      <w:r>
        <w:rPr>
          <w:rFonts w:cs="Times New Roman"/>
          <w:vertAlign w:val="subscript"/>
        </w:rPr>
        <w:t>2</w:t>
      </w:r>
      <w:r>
        <w:rPr>
          <w:rFonts w:cs="Times New Roman"/>
        </w:rPr>
        <w:t>捕集工程；</w:t>
      </w:r>
      <w:r>
        <w:rPr>
          <w:rFonts w:hint="eastAsia" w:ascii="宋体" w:hAnsi="宋体"/>
        </w:rPr>
        <w:t>②</w:t>
      </w:r>
      <w:r>
        <w:rPr>
          <w:rFonts w:cs="Times New Roman"/>
        </w:rPr>
        <w:t>榆林能化36万t/a CO</w:t>
      </w:r>
      <w:r>
        <w:rPr>
          <w:rFonts w:cs="Times New Roman"/>
          <w:vertAlign w:val="subscript"/>
        </w:rPr>
        <w:t>2</w:t>
      </w:r>
      <w:r>
        <w:rPr>
          <w:rFonts w:cs="Times New Roman"/>
        </w:rPr>
        <w:t>捕集工程(在建)。</w:t>
      </w:r>
    </w:p>
    <w:p w14:paraId="418444A8">
      <w:pPr>
        <w:pStyle w:val="23"/>
        <w:ind w:firstLine="480"/>
        <w:rPr>
          <w:rFonts w:cs="Times New Roman"/>
        </w:rPr>
      </w:pPr>
      <w:r>
        <w:rPr>
          <w:rFonts w:cs="Times New Roman"/>
        </w:rPr>
        <w:t>（1）CO</w:t>
      </w:r>
      <w:r>
        <w:rPr>
          <w:rFonts w:cs="Times New Roman"/>
          <w:vertAlign w:val="subscript"/>
        </w:rPr>
        <w:t>2</w:t>
      </w:r>
      <w:r>
        <w:rPr>
          <w:rFonts w:cs="Times New Roman"/>
        </w:rPr>
        <w:t>捕集工艺</w:t>
      </w:r>
    </w:p>
    <w:p w14:paraId="0A4AB09C">
      <w:pPr>
        <w:pStyle w:val="23"/>
        <w:ind w:firstLine="480"/>
        <w:rPr>
          <w:rFonts w:cs="Times New Roman"/>
        </w:rPr>
      </w:pPr>
      <w:r>
        <w:rPr>
          <w:rFonts w:cs="Times New Roman"/>
        </w:rPr>
        <w:t>针对煤化工合成气尾气中二氧化碳浓度较高的特点，结合煤化工厂的甲醇原料的可获得性，采用了基于物理吸收法的低温甲醇洗的工艺捕集二氧化碳，具有一系列技术和经济性优势。煤化工CO</w:t>
      </w:r>
      <w:r>
        <w:rPr>
          <w:rFonts w:cs="Times New Roman"/>
          <w:vertAlign w:val="subscript"/>
        </w:rPr>
        <w:t>2</w:t>
      </w:r>
      <w:r>
        <w:rPr>
          <w:rFonts w:cs="Times New Roman"/>
        </w:rPr>
        <w:t>捕集项目以煤气化过程中变压吸附尾气为原料，采用专用的甲醇二氧化碳气分离器将CO</w:t>
      </w:r>
      <w:r>
        <w:rPr>
          <w:rFonts w:cs="Times New Roman"/>
          <w:vertAlign w:val="subscript"/>
        </w:rPr>
        <w:t>2</w:t>
      </w:r>
      <w:r>
        <w:rPr>
          <w:rFonts w:cs="Times New Roman"/>
        </w:rPr>
        <w:t>从无硫中压甲醇富液中解吸，通过设置换热器回收冷量以维持原系统的能量平衡，经净化、液化，冷却并分离杂质气体后，最终得到纯度≥99%的液态CO</w:t>
      </w:r>
      <w:r>
        <w:rPr>
          <w:rFonts w:cs="Times New Roman"/>
          <w:vertAlign w:val="subscript"/>
        </w:rPr>
        <w:t>2</w:t>
      </w:r>
      <w:r>
        <w:rPr>
          <w:rFonts w:cs="Times New Roman"/>
        </w:rPr>
        <w:t>。</w:t>
      </w:r>
    </w:p>
    <w:p w14:paraId="6E660066">
      <w:pPr>
        <w:pStyle w:val="23"/>
        <w:ind w:firstLine="480"/>
        <w:rPr>
          <w:rFonts w:cs="Times New Roman"/>
        </w:rPr>
      </w:pPr>
      <w:r>
        <w:rPr>
          <w:rFonts w:cs="Times New Roman"/>
        </w:rPr>
        <w:t>（2）CO</w:t>
      </w:r>
      <w:r>
        <w:rPr>
          <w:rFonts w:cs="Times New Roman"/>
          <w:vertAlign w:val="subscript"/>
        </w:rPr>
        <w:t>2</w:t>
      </w:r>
      <w:r>
        <w:rPr>
          <w:rFonts w:cs="Times New Roman"/>
        </w:rPr>
        <w:t>运输方式</w:t>
      </w:r>
    </w:p>
    <w:p w14:paraId="5A2A3DF1">
      <w:pPr>
        <w:pStyle w:val="23"/>
        <w:ind w:firstLine="480"/>
        <w:rPr>
          <w:rFonts w:cs="Times New Roman"/>
        </w:rPr>
      </w:pPr>
      <w:r>
        <w:rPr>
          <w:rFonts w:cs="Times New Roman"/>
        </w:rPr>
        <w:t>CO</w:t>
      </w:r>
      <w:r>
        <w:rPr>
          <w:rFonts w:cs="Times New Roman"/>
          <w:vertAlign w:val="subscript"/>
        </w:rPr>
        <w:t>2</w:t>
      </w:r>
      <w:r>
        <w:rPr>
          <w:rFonts w:cs="Times New Roman"/>
        </w:rPr>
        <w:t>运输主要依靠公路罐车将榆林煤化公司所产的高浓度液态CO</w:t>
      </w:r>
      <w:r>
        <w:rPr>
          <w:rFonts w:cs="Times New Roman"/>
          <w:vertAlign w:val="subscript"/>
        </w:rPr>
        <w:t>2</w:t>
      </w:r>
      <w:r>
        <w:rPr>
          <w:rFonts w:cs="Times New Roman"/>
        </w:rPr>
        <w:t>运输至靖边和吴起试验区以开展CO</w:t>
      </w:r>
      <w:r>
        <w:rPr>
          <w:rFonts w:cs="Times New Roman"/>
          <w:vertAlign w:val="subscript"/>
        </w:rPr>
        <w:t>2</w:t>
      </w:r>
      <w:r>
        <w:rPr>
          <w:rFonts w:cs="Times New Roman"/>
        </w:rPr>
        <w:t>驱油与封存试验。其单车运载量为25～30吨，运输成本约为1.05元/(吨·km)。为了满足延长石油后期开展大规模CCUS项目需求，延长石油规划了36万吨/a CO</w:t>
      </w:r>
      <w:r>
        <w:rPr>
          <w:rFonts w:cs="Times New Roman"/>
          <w:vertAlign w:val="subscript"/>
        </w:rPr>
        <w:t>2</w:t>
      </w:r>
      <w:r>
        <w:rPr>
          <w:rFonts w:cs="Times New Roman"/>
        </w:rPr>
        <w:t>管道输送项目。</w:t>
      </w:r>
    </w:p>
    <w:p w14:paraId="21972E2E">
      <w:pPr>
        <w:pStyle w:val="23"/>
        <w:ind w:firstLine="480"/>
        <w:rPr>
          <w:rFonts w:cs="Times New Roman"/>
        </w:rPr>
      </w:pPr>
      <w:r>
        <w:rPr>
          <w:rFonts w:cs="Times New Roman"/>
        </w:rPr>
        <w:t>（3）CO</w:t>
      </w:r>
      <w:r>
        <w:rPr>
          <w:rFonts w:cs="Times New Roman"/>
          <w:vertAlign w:val="subscript"/>
        </w:rPr>
        <w:t>2</w:t>
      </w:r>
      <w:r>
        <w:rPr>
          <w:rFonts w:cs="Times New Roman"/>
        </w:rPr>
        <w:t>驱油</w:t>
      </w:r>
    </w:p>
    <w:p w14:paraId="3FD35634">
      <w:pPr>
        <w:pStyle w:val="23"/>
        <w:ind w:firstLine="480"/>
        <w:rPr>
          <w:rFonts w:cs="Times New Roman"/>
        </w:rPr>
      </w:pPr>
      <w:r>
        <w:rPr>
          <w:rFonts w:cs="Times New Roman"/>
        </w:rPr>
        <w:t>延长油田地处鄂尔多斯盆地东部，属于特低渗透油田，历经勘探开发，截至2018年，累计探明石油地质储量30.49亿吨，2018年原油产量1139万吨，连续12年千万吨以上增产稳产。延长油田特低渗透浅层油藏有储层物性差、原始地层压力低、破裂压力低、注水开发有诸多难题尚未解决等开发难点，开展CO</w:t>
      </w:r>
      <w:r>
        <w:rPr>
          <w:rFonts w:cs="Times New Roman"/>
          <w:vertAlign w:val="subscript"/>
        </w:rPr>
        <w:t>2</w:t>
      </w:r>
      <w:r>
        <w:rPr>
          <w:rFonts w:cs="Times New Roman"/>
        </w:rPr>
        <w:t>驱油技术能很好地改善原油性质、有效增加地层弹性能量、降低原油粘度，最终提高石油采收率。由于注CO</w:t>
      </w:r>
      <w:r>
        <w:rPr>
          <w:rFonts w:cs="Times New Roman"/>
          <w:vertAlign w:val="subscript"/>
        </w:rPr>
        <w:t>2</w:t>
      </w:r>
      <w:r>
        <w:rPr>
          <w:rFonts w:cs="Times New Roman"/>
        </w:rPr>
        <w:t>替代传统的注水开发，在干旱的陕北地区，可有效缓解油区用水压力。</w:t>
      </w:r>
    </w:p>
    <w:p w14:paraId="299EEB46">
      <w:pPr>
        <w:pStyle w:val="23"/>
        <w:ind w:firstLine="480"/>
        <w:rPr>
          <w:rFonts w:cs="Times New Roman"/>
        </w:rPr>
      </w:pPr>
      <w:r>
        <w:rPr>
          <w:rFonts w:cs="Times New Roman"/>
        </w:rPr>
        <w:t>2018年延长石油CO</w:t>
      </w:r>
      <w:r>
        <w:rPr>
          <w:rFonts w:cs="Times New Roman"/>
          <w:vertAlign w:val="subscript"/>
        </w:rPr>
        <w:t>2</w:t>
      </w:r>
      <w:r>
        <w:rPr>
          <w:rFonts w:cs="Times New Roman"/>
        </w:rPr>
        <w:t>驱油技术及地质检测项目正式启动，目标是年封存CO</w:t>
      </w:r>
      <w:r>
        <w:rPr>
          <w:rFonts w:cs="Times New Roman"/>
          <w:vertAlign w:val="subscript"/>
        </w:rPr>
        <w:t>2</w:t>
      </w:r>
      <w:r>
        <w:rPr>
          <w:rFonts w:cs="Times New Roman"/>
        </w:rPr>
        <w:t>超过10万吨，在水驱基础上提高原油采收率8%以上，有效提高油田特低油藏开发水平。煤化工企业二氧化碳的浓度高达98%，捕集成本约200美元/吨，在行业中成本和输送成本较低。CO</w:t>
      </w:r>
      <w:r>
        <w:rPr>
          <w:rFonts w:cs="Times New Roman"/>
          <w:vertAlign w:val="subscript"/>
        </w:rPr>
        <w:t>2</w:t>
      </w:r>
      <w:r>
        <w:rPr>
          <w:rFonts w:cs="Times New Roman"/>
        </w:rPr>
        <w:t>虽然是气体废物，但是它也是油田持续稳产的重要资源，可以减少亏损，提高产量。另外，CO</w:t>
      </w:r>
      <w:r>
        <w:rPr>
          <w:rFonts w:cs="Times New Roman"/>
          <w:vertAlign w:val="subscript"/>
        </w:rPr>
        <w:t>2</w:t>
      </w:r>
      <w:r>
        <w:rPr>
          <w:rFonts w:cs="Times New Roman"/>
        </w:rPr>
        <w:t>可以取代水基压裂，陕北地区通过二氧化碳的压裂可以提供更多的资源，保护更多的水资源。</w:t>
      </w:r>
    </w:p>
    <w:p w14:paraId="66C46768">
      <w:pPr>
        <w:pStyle w:val="3"/>
        <w:spacing w:before="156" w:after="156"/>
      </w:pPr>
      <w:bookmarkStart w:id="19" w:name="_Toc184600174"/>
      <w:r>
        <w:rPr>
          <w:rFonts w:hint="eastAsia"/>
        </w:rPr>
        <w:t>煤化工过程二氧化碳捕集技术</w:t>
      </w:r>
      <w:bookmarkEnd w:id="19"/>
    </w:p>
    <w:p w14:paraId="52CE564D">
      <w:pPr>
        <w:pStyle w:val="23"/>
        <w:ind w:firstLine="480"/>
        <w:rPr>
          <w:szCs w:val="22"/>
        </w:rPr>
      </w:pPr>
      <w:r>
        <w:rPr>
          <w:rFonts w:hint="eastAsia"/>
          <w:color w:val="000000"/>
          <w:szCs w:val="22"/>
        </w:rPr>
        <w:t>煤化工企业主要的碳排放有两个来源，其中一个是工艺生产中排放的浓度约60%~98%的CO</w:t>
      </w:r>
      <w:r>
        <w:rPr>
          <w:rFonts w:hint="eastAsia"/>
          <w:color w:val="000000"/>
          <w:szCs w:val="22"/>
          <w:vertAlign w:val="subscript"/>
        </w:rPr>
        <w:t>2</w:t>
      </w:r>
      <w:r>
        <w:rPr>
          <w:rFonts w:hint="eastAsia"/>
          <w:color w:val="000000"/>
          <w:szCs w:val="22"/>
        </w:rPr>
        <w:t>气体，另一个是燃煤蒸汽锅炉所排放的含CO</w:t>
      </w:r>
      <w:r>
        <w:rPr>
          <w:rFonts w:hint="eastAsia"/>
          <w:color w:val="000000"/>
          <w:szCs w:val="22"/>
          <w:vertAlign w:val="subscript"/>
        </w:rPr>
        <w:t>2</w:t>
      </w:r>
      <w:r>
        <w:rPr>
          <w:rFonts w:hint="eastAsia"/>
          <w:color w:val="000000"/>
          <w:szCs w:val="22"/>
        </w:rPr>
        <w:t>烟气。针对工艺生产中的高浓度CO</w:t>
      </w:r>
      <w:r>
        <w:rPr>
          <w:rFonts w:hint="eastAsia"/>
          <w:color w:val="000000"/>
          <w:szCs w:val="22"/>
          <w:vertAlign w:val="subscript"/>
        </w:rPr>
        <w:t>2</w:t>
      </w:r>
      <w:r>
        <w:rPr>
          <w:rFonts w:hint="eastAsia"/>
          <w:color w:val="000000"/>
          <w:szCs w:val="22"/>
        </w:rPr>
        <w:t>，一般通过低温甲醇洗工艺并加压液化处理后即可满足输送和利用的要求。对于低浓度或烟气C</w:t>
      </w:r>
      <w:r>
        <w:rPr>
          <w:color w:val="000000"/>
          <w:szCs w:val="22"/>
        </w:rPr>
        <w:t>O</w:t>
      </w:r>
      <w:r>
        <w:rPr>
          <w:color w:val="000000"/>
          <w:szCs w:val="22"/>
          <w:vertAlign w:val="subscript"/>
        </w:rPr>
        <w:t>2</w:t>
      </w:r>
      <w:r>
        <w:rPr>
          <w:rFonts w:hint="eastAsia"/>
          <w:color w:val="000000"/>
          <w:szCs w:val="22"/>
        </w:rPr>
        <w:t>，则需要根据排放源特点，选择合适的C</w:t>
      </w:r>
      <w:r>
        <w:rPr>
          <w:color w:val="000000"/>
          <w:szCs w:val="22"/>
        </w:rPr>
        <w:t>O</w:t>
      </w:r>
      <w:r>
        <w:rPr>
          <w:color w:val="000000"/>
          <w:szCs w:val="22"/>
          <w:vertAlign w:val="subscript"/>
        </w:rPr>
        <w:t>2</w:t>
      </w:r>
      <w:r>
        <w:rPr>
          <w:rFonts w:hint="eastAsia"/>
          <w:color w:val="000000"/>
          <w:szCs w:val="22"/>
        </w:rPr>
        <w:t>捕集方法进行分离提纯后才能达到输送和利用的要求。目前煤化工CO</w:t>
      </w:r>
      <w:r>
        <w:rPr>
          <w:rFonts w:hint="eastAsia"/>
          <w:color w:val="000000"/>
          <w:szCs w:val="22"/>
          <w:vertAlign w:val="subscript"/>
        </w:rPr>
        <w:t>2</w:t>
      </w:r>
      <w:r>
        <w:rPr>
          <w:rFonts w:hint="eastAsia"/>
          <w:color w:val="000000"/>
          <w:szCs w:val="22"/>
        </w:rPr>
        <w:t>捕集方法主要有吸收法、吸附法和膜分离法。这</w:t>
      </w:r>
      <w:r>
        <w:rPr>
          <w:rFonts w:hint="eastAsia"/>
          <w:szCs w:val="22"/>
        </w:rPr>
        <w:t>三种技术在煤燃烧过程C</w:t>
      </w:r>
      <w:r>
        <w:rPr>
          <w:szCs w:val="22"/>
        </w:rPr>
        <w:t>O</w:t>
      </w:r>
      <w:r>
        <w:rPr>
          <w:szCs w:val="22"/>
          <w:vertAlign w:val="subscript"/>
        </w:rPr>
        <w:t>2</w:t>
      </w:r>
      <w:r>
        <w:rPr>
          <w:rFonts w:hint="eastAsia"/>
          <w:szCs w:val="22"/>
        </w:rPr>
        <w:t>捕集、水煤气变换制氢、煤制油和天然气净化等煤化工领域有着广泛的应用。本章将分别对吸收法、吸附法和膜分离法C</w:t>
      </w:r>
      <w:r>
        <w:rPr>
          <w:szCs w:val="22"/>
        </w:rPr>
        <w:t>O</w:t>
      </w:r>
      <w:r>
        <w:rPr>
          <w:szCs w:val="22"/>
          <w:vertAlign w:val="subscript"/>
        </w:rPr>
        <w:t>2</w:t>
      </w:r>
      <w:r>
        <w:rPr>
          <w:rFonts w:hint="eastAsia"/>
          <w:szCs w:val="22"/>
        </w:rPr>
        <w:t>捕集三种技术进行详细介绍。</w:t>
      </w:r>
    </w:p>
    <w:p w14:paraId="417C9FA0">
      <w:pPr>
        <w:pStyle w:val="4"/>
        <w:spacing w:before="156" w:after="156"/>
      </w:pPr>
      <w:bookmarkStart w:id="20" w:name="_Toc184600175"/>
      <w:r>
        <w:rPr>
          <w:rFonts w:hint="eastAsia"/>
        </w:rPr>
        <w:t>吸收法</w:t>
      </w:r>
      <w:r>
        <w:t>CO</w:t>
      </w:r>
      <w:r>
        <w:rPr>
          <w:vertAlign w:val="subscript"/>
        </w:rPr>
        <w:t>2</w:t>
      </w:r>
      <w:r>
        <w:t>捕集技术</w:t>
      </w:r>
      <w:bookmarkEnd w:id="20"/>
    </w:p>
    <w:p w14:paraId="4DD0889B">
      <w:pPr>
        <w:pStyle w:val="23"/>
        <w:ind w:firstLine="480"/>
      </w:pPr>
      <w:r>
        <w:rPr>
          <w:rFonts w:hint="eastAsia"/>
        </w:rPr>
        <w:t>吸收法</w:t>
      </w:r>
      <w:r>
        <w:t>CO</w:t>
      </w:r>
      <w:r>
        <w:rPr>
          <w:vertAlign w:val="subscript"/>
        </w:rPr>
        <w:t>2</w:t>
      </w:r>
      <w:r>
        <w:t>捕集技术按吸收原理主要分为物理吸收法、化学吸收法以及物理-化学吸收法三种。</w:t>
      </w:r>
    </w:p>
    <w:p w14:paraId="54158EBB">
      <w:pPr>
        <w:pStyle w:val="23"/>
        <w:ind w:firstLine="480"/>
      </w:pPr>
      <w:r>
        <w:rPr>
          <w:rFonts w:hint="eastAsia"/>
        </w:rPr>
        <w:t>物理吸收法利用</w:t>
      </w:r>
      <w:r>
        <w:t>CO</w:t>
      </w:r>
      <w:r>
        <w:rPr>
          <w:vertAlign w:val="subscript"/>
        </w:rPr>
        <w:t>2</w:t>
      </w:r>
      <w:r>
        <w:t>在溶液（如甲醇、N-甲基吡咯烷酮、聚乙二醇二甲醚等）中的溶解度随压力而改变的原理来吸收、分离CO</w:t>
      </w:r>
      <w:r>
        <w:rPr>
          <w:vertAlign w:val="subscript"/>
        </w:rPr>
        <w:t>2</w:t>
      </w:r>
      <w:r>
        <w:t>。一般情况下温度越低、压力越高，溶剂对CO</w:t>
      </w:r>
      <w:r>
        <w:rPr>
          <w:vertAlign w:val="subscript"/>
        </w:rPr>
        <w:t>2</w:t>
      </w:r>
      <w:r>
        <w:t>的吸收效果就越好，此方法适用于CO</w:t>
      </w:r>
      <w:r>
        <w:rPr>
          <w:vertAlign w:val="subscript"/>
        </w:rPr>
        <w:t>2</w:t>
      </w:r>
      <w:r>
        <w:t>气体分压较高、对净化程度要求低的工艺过程，主要包括低温甲醇洗工艺、NHD工艺、加压水洗工艺及碳酸丙烯酯工艺。</w:t>
      </w:r>
    </w:p>
    <w:p w14:paraId="5A116F67">
      <w:pPr>
        <w:pStyle w:val="23"/>
        <w:ind w:firstLine="480"/>
      </w:pPr>
      <w:r>
        <w:rPr>
          <w:rFonts w:hint="eastAsia"/>
        </w:rPr>
        <w:t>化学吸收法通过溶液与</w:t>
      </w:r>
      <w:r>
        <w:t>CO</w:t>
      </w:r>
      <w:r>
        <w:rPr>
          <w:vertAlign w:val="subscript"/>
        </w:rPr>
        <w:t>2</w:t>
      </w:r>
      <w:r>
        <w:t>发生化学反应并形成化学键从而对CO</w:t>
      </w:r>
      <w:r>
        <w:rPr>
          <w:vertAlign w:val="subscript"/>
        </w:rPr>
        <w:t>2</w:t>
      </w:r>
      <w:r>
        <w:t>进行吸收，并在较高的温度下进行解吸再生，具有捕集容量大、选择性高、工艺简单等特点，在常压操作条件下其捕集效果要明显优于物理溶剂。主要有热碱钾法和醇胺法。</w:t>
      </w:r>
    </w:p>
    <w:p w14:paraId="69EBA998">
      <w:pPr>
        <w:pStyle w:val="23"/>
        <w:ind w:firstLine="480"/>
      </w:pPr>
      <w:r>
        <w:rPr>
          <w:rFonts w:hint="eastAsia"/>
        </w:rPr>
        <w:t>物理化学吸收法又称混合溶剂吸收法，它采用由物理吸收剂、化学吸收剂和水组成的新型混合吸收剂，具有物理和化学吸收双重作用，净化程度高，再生能耗低，具备较高的应用前景。砜胺法和相变吸收法是目前应用最多的两种物理化学吸收方法。</w:t>
      </w:r>
    </w:p>
    <w:p w14:paraId="1DB044F2">
      <w:pPr>
        <w:pStyle w:val="23"/>
        <w:ind w:firstLine="480"/>
      </w:pPr>
      <w:r>
        <w:rPr>
          <w:rFonts w:hint="eastAsia"/>
        </w:rPr>
        <w:t>下表</w:t>
      </w:r>
      <w:r>
        <w:t>给出了几种典型吸收法CO</w:t>
      </w:r>
      <w:r>
        <w:rPr>
          <w:vertAlign w:val="subscript"/>
        </w:rPr>
        <w:t>2</w:t>
      </w:r>
      <w:r>
        <w:t>捕集技术的优缺点分析。</w:t>
      </w:r>
    </w:p>
    <w:p w14:paraId="78BE167E">
      <w:pPr>
        <w:pStyle w:val="28"/>
      </w:pPr>
      <w:r>
        <w:t>表</w:t>
      </w:r>
      <w:r>
        <w:fldChar w:fldCharType="begin"/>
      </w:r>
      <w:r>
        <w:instrText xml:space="preserve"> SEQ 表 \* ARABIC </w:instrText>
      </w:r>
      <w:r>
        <w:fldChar w:fldCharType="separate"/>
      </w:r>
      <w:r>
        <w:t>10</w:t>
      </w:r>
      <w:r>
        <w:fldChar w:fldCharType="end"/>
      </w:r>
      <w:r>
        <w:t xml:space="preserve"> </w:t>
      </w:r>
      <w:r>
        <w:rPr>
          <w:rFonts w:hint="eastAsia"/>
        </w:rPr>
        <w:t>典型吸收法</w:t>
      </w:r>
      <w:r>
        <w:t>CO</w:t>
      </w:r>
      <w:r>
        <w:rPr>
          <w:vertAlign w:val="subscript"/>
        </w:rPr>
        <w:t>2</w:t>
      </w:r>
      <w:r>
        <w:t>捕集技术对比</w:t>
      </w:r>
    </w:p>
    <w:tbl>
      <w:tblPr>
        <w:tblStyle w:val="17"/>
        <w:tblW w:w="5000" w:type="pct"/>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526"/>
        <w:gridCol w:w="3827"/>
        <w:gridCol w:w="3169"/>
      </w:tblGrid>
      <w:tr w14:paraId="4F4E810D">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95" w:type="pct"/>
            <w:tcBorders>
              <w:top w:val="single" w:color="auto" w:sz="12" w:space="0"/>
              <w:bottom w:val="single" w:color="auto" w:sz="8" w:space="0"/>
            </w:tcBorders>
            <w:vAlign w:val="center"/>
          </w:tcPr>
          <w:p w14:paraId="504B9F86">
            <w:pPr>
              <w:pStyle w:val="26"/>
            </w:pPr>
            <w:r>
              <w:rPr>
                <w:rFonts w:hint="eastAsia"/>
              </w:rPr>
              <w:t>技术方法类型</w:t>
            </w:r>
          </w:p>
        </w:tc>
        <w:tc>
          <w:tcPr>
            <w:tcW w:w="2245" w:type="pct"/>
            <w:tcBorders>
              <w:top w:val="single" w:color="auto" w:sz="12" w:space="0"/>
              <w:bottom w:val="single" w:color="auto" w:sz="8" w:space="0"/>
            </w:tcBorders>
            <w:vAlign w:val="center"/>
          </w:tcPr>
          <w:p w14:paraId="0033B053">
            <w:pPr>
              <w:pStyle w:val="26"/>
            </w:pPr>
            <w:r>
              <w:rPr>
                <w:rFonts w:hint="eastAsia"/>
              </w:rPr>
              <w:t>优点</w:t>
            </w:r>
          </w:p>
        </w:tc>
        <w:tc>
          <w:tcPr>
            <w:tcW w:w="1859" w:type="pct"/>
            <w:tcBorders>
              <w:top w:val="single" w:color="auto" w:sz="12" w:space="0"/>
              <w:bottom w:val="single" w:color="auto" w:sz="8" w:space="0"/>
            </w:tcBorders>
            <w:vAlign w:val="center"/>
          </w:tcPr>
          <w:p w14:paraId="5A000F0E">
            <w:pPr>
              <w:pStyle w:val="26"/>
            </w:pPr>
            <w:r>
              <w:rPr>
                <w:rFonts w:hint="eastAsia"/>
              </w:rPr>
              <w:t>缺点</w:t>
            </w:r>
          </w:p>
        </w:tc>
      </w:tr>
      <w:tr w14:paraId="2F2492B2">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1" w:hRule="atLeast"/>
          <w:jc w:val="center"/>
        </w:trPr>
        <w:tc>
          <w:tcPr>
            <w:tcW w:w="895" w:type="pct"/>
            <w:tcBorders>
              <w:top w:val="single" w:color="auto" w:sz="8" w:space="0"/>
            </w:tcBorders>
            <w:vAlign w:val="center"/>
          </w:tcPr>
          <w:p w14:paraId="11B9A658">
            <w:pPr>
              <w:pStyle w:val="26"/>
            </w:pPr>
            <w:r>
              <w:rPr>
                <w:rFonts w:hint="eastAsia"/>
              </w:rPr>
              <w:t>低温甲醇洗法</w:t>
            </w:r>
          </w:p>
        </w:tc>
        <w:tc>
          <w:tcPr>
            <w:tcW w:w="2245" w:type="pct"/>
            <w:tcBorders>
              <w:top w:val="single" w:color="auto" w:sz="8" w:space="0"/>
            </w:tcBorders>
            <w:vAlign w:val="center"/>
          </w:tcPr>
          <w:p w14:paraId="1A2F308C">
            <w:pPr>
              <w:pStyle w:val="26"/>
            </w:pPr>
            <w:r>
              <w:rPr>
                <w:rFonts w:hint="eastAsia"/>
              </w:rPr>
              <w:t>甲醇廉价；</w:t>
            </w:r>
            <w:r>
              <w:t>CO</w:t>
            </w:r>
            <w:r>
              <w:rPr>
                <w:vertAlign w:val="subscript"/>
              </w:rPr>
              <w:t>2</w:t>
            </w:r>
            <w:r>
              <w:rPr>
                <w:rFonts w:hint="eastAsia"/>
              </w:rPr>
              <w:t>在甲醇中溶解度高；溶剂循环量低导致电能、蒸汽、冷却水的消耗量低；获得的净化气纯度高；化学稳定性和热稳定好；腐蚀性小</w:t>
            </w:r>
          </w:p>
        </w:tc>
        <w:tc>
          <w:tcPr>
            <w:tcW w:w="1859" w:type="pct"/>
            <w:tcBorders>
              <w:top w:val="single" w:color="auto" w:sz="8" w:space="0"/>
            </w:tcBorders>
            <w:vAlign w:val="center"/>
          </w:tcPr>
          <w:p w14:paraId="1F6635A4">
            <w:pPr>
              <w:pStyle w:val="26"/>
            </w:pPr>
            <w:r>
              <w:rPr>
                <w:rFonts w:hint="eastAsia"/>
              </w:rPr>
              <w:t>需要在低温下操作，对设备和管道材质要求较高；所需换热设备多，投资费用大；甲醇有毒</w:t>
            </w:r>
          </w:p>
        </w:tc>
      </w:tr>
      <w:tr w14:paraId="55DC7A86">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19" w:hRule="atLeast"/>
          <w:jc w:val="center"/>
        </w:trPr>
        <w:tc>
          <w:tcPr>
            <w:tcW w:w="895" w:type="pct"/>
            <w:vAlign w:val="center"/>
          </w:tcPr>
          <w:p w14:paraId="291C8065">
            <w:pPr>
              <w:pStyle w:val="26"/>
            </w:pPr>
            <w:r>
              <w:t>NHD</w:t>
            </w:r>
            <w:r>
              <w:rPr>
                <w:rFonts w:hint="eastAsia"/>
              </w:rPr>
              <w:t>法</w:t>
            </w:r>
          </w:p>
        </w:tc>
        <w:tc>
          <w:tcPr>
            <w:tcW w:w="2245" w:type="pct"/>
            <w:vAlign w:val="center"/>
          </w:tcPr>
          <w:p w14:paraId="45767257">
            <w:pPr>
              <w:pStyle w:val="26"/>
            </w:pPr>
            <w:r>
              <w:rPr>
                <w:rFonts w:hint="eastAsia"/>
              </w:rPr>
              <w:t>溶剂蒸气压低，挥发性小，其化学稳定性和热稳定好，不易降解，对碳钢等金属材料无腐蚀性</w:t>
            </w:r>
          </w:p>
        </w:tc>
        <w:tc>
          <w:tcPr>
            <w:tcW w:w="1859" w:type="pct"/>
            <w:vAlign w:val="center"/>
          </w:tcPr>
          <w:p w14:paraId="6C0D50AA">
            <w:pPr>
              <w:pStyle w:val="26"/>
            </w:pPr>
            <w:r>
              <w:rPr>
                <w:rFonts w:hint="eastAsia"/>
              </w:rPr>
              <w:t>冷却设备系统能耗较大</w:t>
            </w:r>
          </w:p>
        </w:tc>
      </w:tr>
      <w:tr w14:paraId="6C81ECB9">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95" w:type="pct"/>
            <w:vAlign w:val="center"/>
          </w:tcPr>
          <w:p w14:paraId="06554EC2">
            <w:pPr>
              <w:pStyle w:val="26"/>
            </w:pPr>
            <w:r>
              <w:rPr>
                <w:rFonts w:hint="eastAsia"/>
              </w:rPr>
              <w:t>热钾碱法</w:t>
            </w:r>
          </w:p>
        </w:tc>
        <w:tc>
          <w:tcPr>
            <w:tcW w:w="2245" w:type="pct"/>
            <w:vAlign w:val="center"/>
          </w:tcPr>
          <w:p w14:paraId="11BB276B">
            <w:pPr>
              <w:pStyle w:val="26"/>
            </w:pPr>
            <w:r>
              <w:rPr>
                <w:rFonts w:hint="eastAsia"/>
              </w:rPr>
              <w:t>溶剂不易降解，生产成本低，无毒，无挥发性</w:t>
            </w:r>
          </w:p>
        </w:tc>
        <w:tc>
          <w:tcPr>
            <w:tcW w:w="1859" w:type="pct"/>
            <w:vAlign w:val="center"/>
          </w:tcPr>
          <w:p w14:paraId="53E3FD86">
            <w:pPr>
              <w:pStyle w:val="26"/>
            </w:pPr>
            <w:r>
              <w:t>CO</w:t>
            </w:r>
            <w:r>
              <w:rPr>
                <w:vertAlign w:val="subscript"/>
              </w:rPr>
              <w:t>2</w:t>
            </w:r>
            <w:r>
              <w:rPr>
                <w:rFonts w:hint="eastAsia"/>
              </w:rPr>
              <w:t>吸收速率较慢</w:t>
            </w:r>
          </w:p>
        </w:tc>
      </w:tr>
      <w:tr w14:paraId="61404498">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8" w:hRule="atLeast"/>
          <w:jc w:val="center"/>
        </w:trPr>
        <w:tc>
          <w:tcPr>
            <w:tcW w:w="895" w:type="pct"/>
            <w:vAlign w:val="center"/>
          </w:tcPr>
          <w:p w14:paraId="4F635663">
            <w:pPr>
              <w:pStyle w:val="26"/>
            </w:pPr>
            <w:r>
              <w:rPr>
                <w:rFonts w:hint="eastAsia"/>
              </w:rPr>
              <w:t>醇胺法</w:t>
            </w:r>
          </w:p>
        </w:tc>
        <w:tc>
          <w:tcPr>
            <w:tcW w:w="2245" w:type="pct"/>
            <w:vAlign w:val="center"/>
          </w:tcPr>
          <w:p w14:paraId="30F6046F">
            <w:pPr>
              <w:pStyle w:val="26"/>
            </w:pPr>
            <w:r>
              <w:rPr>
                <w:rFonts w:hint="eastAsia"/>
              </w:rPr>
              <w:t>再生能耗低，解吸能低；脱碳选择性高</w:t>
            </w:r>
          </w:p>
        </w:tc>
        <w:tc>
          <w:tcPr>
            <w:tcW w:w="1859" w:type="pct"/>
            <w:vAlign w:val="center"/>
          </w:tcPr>
          <w:p w14:paraId="6914E273">
            <w:pPr>
              <w:pStyle w:val="26"/>
            </w:pPr>
            <w:r>
              <w:rPr>
                <w:rFonts w:hint="eastAsia"/>
              </w:rPr>
              <w:t>溶剂对设备腐蚀性强；吸收成本较高</w:t>
            </w:r>
          </w:p>
        </w:tc>
      </w:tr>
      <w:tr w14:paraId="2B922FE2">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8" w:hRule="atLeast"/>
          <w:jc w:val="center"/>
        </w:trPr>
        <w:tc>
          <w:tcPr>
            <w:tcW w:w="895" w:type="pct"/>
            <w:vAlign w:val="center"/>
          </w:tcPr>
          <w:p w14:paraId="79946DDB">
            <w:pPr>
              <w:pStyle w:val="26"/>
            </w:pPr>
            <w:r>
              <w:rPr>
                <w:rFonts w:hint="eastAsia"/>
              </w:rPr>
              <w:t>相变吸收法</w:t>
            </w:r>
          </w:p>
        </w:tc>
        <w:tc>
          <w:tcPr>
            <w:tcW w:w="2245" w:type="pct"/>
            <w:vAlign w:val="center"/>
          </w:tcPr>
          <w:p w14:paraId="4E476750">
            <w:pPr>
              <w:pStyle w:val="26"/>
            </w:pPr>
            <w:r>
              <w:rPr>
                <w:rFonts w:hint="eastAsia"/>
              </w:rPr>
              <w:t>吸收性能优异；再生能耗低</w:t>
            </w:r>
          </w:p>
        </w:tc>
        <w:tc>
          <w:tcPr>
            <w:tcW w:w="1859" w:type="pct"/>
            <w:vAlign w:val="center"/>
          </w:tcPr>
          <w:p w14:paraId="2453528A">
            <w:pPr>
              <w:pStyle w:val="26"/>
            </w:pPr>
            <w:r>
              <w:rPr>
                <w:rFonts w:hint="eastAsia"/>
              </w:rPr>
              <w:t>富相固体通常需要加热再生，设备成本投入较大</w:t>
            </w:r>
          </w:p>
        </w:tc>
      </w:tr>
      <w:tr w14:paraId="5D85A117">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2" w:hRule="atLeast"/>
          <w:jc w:val="center"/>
        </w:trPr>
        <w:tc>
          <w:tcPr>
            <w:tcW w:w="895" w:type="pct"/>
            <w:vAlign w:val="center"/>
          </w:tcPr>
          <w:p w14:paraId="2243A9F9">
            <w:pPr>
              <w:pStyle w:val="26"/>
            </w:pPr>
            <w:r>
              <w:t>MDEA</w:t>
            </w:r>
            <w:r>
              <w:rPr>
                <w:rFonts w:hint="eastAsia"/>
              </w:rPr>
              <w:t>法</w:t>
            </w:r>
          </w:p>
        </w:tc>
        <w:tc>
          <w:tcPr>
            <w:tcW w:w="2245" w:type="pct"/>
            <w:vAlign w:val="center"/>
          </w:tcPr>
          <w:p w14:paraId="18DC8A21">
            <w:pPr>
              <w:pStyle w:val="26"/>
            </w:pPr>
            <w:r>
              <w:rPr>
                <w:rFonts w:hint="eastAsia"/>
              </w:rPr>
              <w:t>溶液稳定性优异，不易降解；溶液对碳钢没有腐蚀性；溶剂蒸汽分压低，挥发性小</w:t>
            </w:r>
          </w:p>
        </w:tc>
        <w:tc>
          <w:tcPr>
            <w:tcW w:w="1859" w:type="pct"/>
            <w:vAlign w:val="center"/>
          </w:tcPr>
          <w:p w14:paraId="5FABD134">
            <w:pPr>
              <w:pStyle w:val="26"/>
            </w:pPr>
            <w:r>
              <w:rPr>
                <w:rFonts w:hint="eastAsia"/>
              </w:rPr>
              <w:t>吸收选择性较低</w:t>
            </w:r>
          </w:p>
        </w:tc>
      </w:tr>
      <w:tr w14:paraId="23AEFC03">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0" w:hRule="atLeast"/>
          <w:jc w:val="center"/>
        </w:trPr>
        <w:tc>
          <w:tcPr>
            <w:tcW w:w="895" w:type="pct"/>
            <w:vAlign w:val="center"/>
          </w:tcPr>
          <w:p w14:paraId="6A81CA17">
            <w:pPr>
              <w:pStyle w:val="26"/>
              <w:rPr>
                <w:bCs/>
              </w:rPr>
            </w:pPr>
            <w:r>
              <w:rPr>
                <w:rFonts w:hint="eastAsia"/>
                <w:bCs/>
              </w:rPr>
              <w:t>砜胺法</w:t>
            </w:r>
          </w:p>
        </w:tc>
        <w:tc>
          <w:tcPr>
            <w:tcW w:w="2245" w:type="pct"/>
            <w:vAlign w:val="center"/>
          </w:tcPr>
          <w:p w14:paraId="1032D34A">
            <w:pPr>
              <w:pStyle w:val="26"/>
            </w:pPr>
            <w:r>
              <w:rPr>
                <w:rFonts w:hint="eastAsia"/>
              </w:rPr>
              <w:t>吸收能耗降低；热负荷较低；对</w:t>
            </w:r>
            <w:r>
              <w:t>CO</w:t>
            </w:r>
            <w:r>
              <w:rPr>
                <w:vertAlign w:val="subscript"/>
              </w:rPr>
              <w:t>2</w:t>
            </w:r>
            <w:r>
              <w:rPr>
                <w:rFonts w:hint="eastAsia"/>
              </w:rPr>
              <w:t>吸收选择性高</w:t>
            </w:r>
          </w:p>
        </w:tc>
        <w:tc>
          <w:tcPr>
            <w:tcW w:w="1859" w:type="pct"/>
            <w:vAlign w:val="center"/>
          </w:tcPr>
          <w:p w14:paraId="08E065D3">
            <w:pPr>
              <w:pStyle w:val="26"/>
            </w:pPr>
            <w:r>
              <w:rPr>
                <w:rFonts w:hint="eastAsia"/>
              </w:rPr>
              <w:t>工艺成本较高；环丁砜有腐蚀性</w:t>
            </w:r>
          </w:p>
        </w:tc>
      </w:tr>
    </w:tbl>
    <w:p w14:paraId="650489DA">
      <w:pPr>
        <w:pStyle w:val="4"/>
        <w:spacing w:before="156" w:after="156"/>
      </w:pPr>
      <w:bookmarkStart w:id="21" w:name="_Toc184600176"/>
      <w:r>
        <w:rPr>
          <w:rFonts w:hint="eastAsia"/>
        </w:rPr>
        <w:t>吸附法</w:t>
      </w:r>
      <w:r>
        <w:t>CO</w:t>
      </w:r>
      <w:r>
        <w:rPr>
          <w:vertAlign w:val="subscript"/>
        </w:rPr>
        <w:t>2</w:t>
      </w:r>
      <w:r>
        <w:t>捕集技术</w:t>
      </w:r>
      <w:bookmarkEnd w:id="21"/>
    </w:p>
    <w:p w14:paraId="3432CCF4">
      <w:pPr>
        <w:pStyle w:val="23"/>
        <w:ind w:firstLine="480"/>
      </w:pPr>
      <w:r>
        <w:rPr>
          <w:rFonts w:hint="eastAsia"/>
        </w:rPr>
        <w:t>吸附分离法是固体吸附剂的活性表面通过范德华力或者化学键与</w:t>
      </w:r>
      <w:r>
        <w:t>CO</w:t>
      </w:r>
      <w:r>
        <w:rPr>
          <w:vertAlign w:val="subscript"/>
        </w:rPr>
        <w:t>2</w:t>
      </w:r>
      <w:r>
        <w:t>相作用从而进行选择性捕集CO</w:t>
      </w:r>
      <w:r>
        <w:rPr>
          <w:vertAlign w:val="subscript"/>
        </w:rPr>
        <w:t>2</w:t>
      </w:r>
      <w:r>
        <w:t>的过程。按照操作方式的不同，吸附法分为变压吸附和变温吸附。变压吸附的优点在于其简单的工艺过程、操作弹性大的装置、较低的能耗、无腐蚀和污染，但存在的主要问题是吸附剂选择性和回收率低。变温吸附是在低温下吸附、高温下进行解吸的过程。主要优点是适合用于处理原料气中的杂质含量较低、回收率要求较高的场所。缺点是由于周期性的加热和冷却，设备使用寿命短，投资较高。传统的固体吸附剂在常温下具有较好的CO</w:t>
      </w:r>
      <w:r>
        <w:rPr>
          <w:vertAlign w:val="subscript"/>
        </w:rPr>
        <w:t>2</w:t>
      </w:r>
      <w:r>
        <w:t>吸附性能，但是高温下捕集量迅速</w:t>
      </w:r>
      <w:r>
        <w:rPr>
          <w:rFonts w:hint="eastAsia"/>
        </w:rPr>
        <w:t>降低，而且在含水条件下选择性变差</w:t>
      </w:r>
      <w:r>
        <w:t>。</w:t>
      </w:r>
    </w:p>
    <w:p w14:paraId="1BED69C9">
      <w:pPr>
        <w:pStyle w:val="23"/>
        <w:ind w:firstLine="480"/>
      </w:pPr>
      <w:r>
        <w:rPr>
          <w:rFonts w:hint="eastAsia"/>
        </w:rPr>
        <w:t>固体吸附剂作为</w:t>
      </w:r>
      <w:r>
        <w:t>CO</w:t>
      </w:r>
      <w:r>
        <w:rPr>
          <w:vertAlign w:val="subscript"/>
        </w:rPr>
        <w:t>2</w:t>
      </w:r>
      <w:r>
        <w:t>捕集的材料之一，成为时下的研究热点。它的优点在于其工作温度范围相对较广（室温至900℃），并且在循环利用的流程中产生的废弃物通常较少，以及使用过的吸附材料易于处理，其对环境危害相对较小。CO</w:t>
      </w:r>
      <w:r>
        <w:rPr>
          <w:vertAlign w:val="subscript"/>
        </w:rPr>
        <w:t>2</w:t>
      </w:r>
      <w:r>
        <w:t>固体吸附材料通常包括活性炭、沸石、金属有机框架、多孔聚合物、二氧化硅材料、碱金属材料和金属氧化物/碳酸盐材料等。此外，可将两种或两种以上的材料结合在一起形成新的复合材料，在特定制备条件下获得的复合材料可表现出单一材料不具备的优异性能。</w:t>
      </w:r>
    </w:p>
    <w:p w14:paraId="1E54DB12">
      <w:pPr>
        <w:pStyle w:val="23"/>
        <w:ind w:firstLine="480"/>
      </w:pPr>
      <w:r>
        <w:rPr>
          <w:rFonts w:hint="eastAsia"/>
        </w:rPr>
        <w:t>固体吸附剂与</w:t>
      </w:r>
      <w:r>
        <w:t>CO</w:t>
      </w:r>
      <w:r>
        <w:rPr>
          <w:vertAlign w:val="subscript"/>
        </w:rPr>
        <w:t>2</w:t>
      </w:r>
      <w:r>
        <w:t>分子之间存在多种化学和物理相互作用力，可以按照不同的吸脱附温度将吸附剂分为低温吸附剂和高温吸附剂。低温吸附剂具有比表面积高、再生容易、孔道结构和表面结构可调等优点，在变压吸附过程中应用潜力很大，但存在吸附容量低、碳酸化速率低、易腐蚀、工艺设备去污困难、使用温度受限等问题，限制了在实际工业中的应用。高温吸附剂吸附容量高、吸附速度快，可实现高温下直接吸附，大大降低CO</w:t>
      </w:r>
      <w:r>
        <w:rPr>
          <w:vertAlign w:val="subscript"/>
        </w:rPr>
        <w:t>2</w:t>
      </w:r>
      <w:r>
        <w:t>排放重要源头火电企业的能耗，但随着循环次数的增加，吸附剂易烧结和团聚。由于在评价一种吸附剂时，吸附性能、动力学、循环稳定性和成</w:t>
      </w:r>
      <w:r>
        <w:rPr>
          <w:rFonts w:hint="eastAsia"/>
        </w:rPr>
        <w:t>本都是非常重要的参数，因此，下文将从以上几个侧重点对高温及低温吸附剂进行系统的介绍。</w:t>
      </w:r>
    </w:p>
    <w:p w14:paraId="7A294A08">
      <w:pPr>
        <w:pStyle w:val="4"/>
        <w:spacing w:before="156" w:after="156"/>
      </w:pPr>
      <w:bookmarkStart w:id="22" w:name="_Toc184600177"/>
      <w:r>
        <w:rPr>
          <w:rFonts w:hint="eastAsia"/>
        </w:rPr>
        <w:t>膜法</w:t>
      </w:r>
      <w:r>
        <w:t>CO</w:t>
      </w:r>
      <w:r>
        <w:rPr>
          <w:vertAlign w:val="subscript"/>
        </w:rPr>
        <w:t>2</w:t>
      </w:r>
      <w:r>
        <w:t>捕集分离技术</w:t>
      </w:r>
      <w:bookmarkEnd w:id="22"/>
    </w:p>
    <w:p w14:paraId="08FDA811">
      <w:pPr>
        <w:pStyle w:val="23"/>
        <w:ind w:firstLine="480"/>
      </w:pPr>
      <w:r>
        <w:rPr>
          <w:rFonts w:hint="eastAsia"/>
        </w:rPr>
        <w:t>近年来，随着全球变暖，极端天气和气候事件频发，气候变化对生态环境和经济社会发展的影响日益显著，</w:t>
      </w:r>
      <w:r>
        <w:t>CO</w:t>
      </w:r>
      <w:r>
        <w:rPr>
          <w:vertAlign w:val="subscript"/>
        </w:rPr>
        <w:t>2</w:t>
      </w:r>
      <w:r>
        <w:t>减排受到国际社会的高度关注，同时高效脱除CO</w:t>
      </w:r>
      <w:r>
        <w:rPr>
          <w:vertAlign w:val="subscript"/>
        </w:rPr>
        <w:t>2</w:t>
      </w:r>
      <w:r>
        <w:t>也是实现煤炭清洁高效利用的前提。开发高效实用的CO</w:t>
      </w:r>
      <w:r>
        <w:rPr>
          <w:vertAlign w:val="subscript"/>
        </w:rPr>
        <w:t>2</w:t>
      </w:r>
      <w:r>
        <w:t>捕集技术对解决气候危机、构建生态文明和实现可持续发展具有重要意义，对我国加快转变经济发展方式具有重要意义。CO</w:t>
      </w:r>
      <w:r>
        <w:rPr>
          <w:vertAlign w:val="subscript"/>
        </w:rPr>
        <w:t>2</w:t>
      </w:r>
      <w:r>
        <w:t>捕集流程如图6所示。与其它方法相比，膜分离法具有设备体积小、投资少、环境友好和操作简单等优点，受到国内外的广泛关注。其中，膜是膜分离技术的核心。</w:t>
      </w:r>
    </w:p>
    <w:p w14:paraId="2C052A02">
      <w:pPr>
        <w:pStyle w:val="23"/>
        <w:keepNext/>
        <w:ind w:firstLine="0" w:firstLineChars="0"/>
        <w:jc w:val="center"/>
      </w:pPr>
      <w:r>
        <w:drawing>
          <wp:inline distT="0" distB="0" distL="0" distR="0">
            <wp:extent cx="4298950" cy="2882900"/>
            <wp:effectExtent l="0" t="0" r="6350" b="0"/>
            <wp:docPr id="35870" name="图片 35870"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70" name="图片 35870" descr="图示&#10;&#10;描述已自动生成"/>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298950" cy="2882900"/>
                    </a:xfrm>
                    <a:prstGeom prst="rect">
                      <a:avLst/>
                    </a:prstGeom>
                    <a:noFill/>
                    <a:ln>
                      <a:noFill/>
                    </a:ln>
                  </pic:spPr>
                </pic:pic>
              </a:graphicData>
            </a:graphic>
          </wp:inline>
        </w:drawing>
      </w:r>
    </w:p>
    <w:p w14:paraId="4272D273">
      <w:pPr>
        <w:pStyle w:val="30"/>
      </w:pPr>
      <w:r>
        <w:rPr>
          <w:rFonts w:hint="eastAsia"/>
        </w:rPr>
        <w:t>图</w:t>
      </w:r>
      <w:r>
        <w:fldChar w:fldCharType="begin"/>
      </w:r>
      <w:r>
        <w:instrText xml:space="preserve"> </w:instrText>
      </w:r>
      <w:r>
        <w:rPr>
          <w:rFonts w:hint="eastAsia"/>
        </w:rPr>
        <w:instrText xml:space="preserve">SEQ 图 \* ARABIC</w:instrText>
      </w:r>
      <w:r>
        <w:instrText xml:space="preserve"> </w:instrText>
      </w:r>
      <w:r>
        <w:fldChar w:fldCharType="separate"/>
      </w:r>
      <w:r>
        <w:t>6</w:t>
      </w:r>
      <w:r>
        <w:fldChar w:fldCharType="end"/>
      </w:r>
      <w:r>
        <w:t xml:space="preserve"> CO</w:t>
      </w:r>
      <w:r>
        <w:rPr>
          <w:vertAlign w:val="subscript"/>
        </w:rPr>
        <w:t>2</w:t>
      </w:r>
      <w:r>
        <w:t>捕集流程</w:t>
      </w:r>
    </w:p>
    <w:p w14:paraId="0EBAF13D">
      <w:pPr>
        <w:pStyle w:val="23"/>
        <w:ind w:firstLine="480"/>
      </w:pPr>
      <w:r>
        <w:rPr>
          <w:rFonts w:hint="eastAsia"/>
        </w:rPr>
        <w:t>膜法</w:t>
      </w:r>
      <w:r>
        <w:t>CO</w:t>
      </w:r>
      <w:r>
        <w:rPr>
          <w:vertAlign w:val="subscript"/>
        </w:rPr>
        <w:t>2</w:t>
      </w:r>
      <w:r>
        <w:t>捕集过程主要包括燃烧前CO</w:t>
      </w:r>
      <w:r>
        <w:rPr>
          <w:vertAlign w:val="subscript"/>
        </w:rPr>
        <w:t>2</w:t>
      </w:r>
      <w:r>
        <w:t>捕集和燃烧后CO</w:t>
      </w:r>
      <w:r>
        <w:rPr>
          <w:vertAlign w:val="subscript"/>
        </w:rPr>
        <w:t>2</w:t>
      </w:r>
      <w:r>
        <w:t>捕集。燃烧前捕集主要用于整体煤气化联合循环系统（IGCC）中，将煤高压富氧气化变成煤气，再经过水煤气变换后产生CO</w:t>
      </w:r>
      <w:r>
        <w:rPr>
          <w:vertAlign w:val="subscript"/>
        </w:rPr>
        <w:t>2</w:t>
      </w:r>
      <w:r>
        <w:t>和H</w:t>
      </w:r>
      <w:r>
        <w:rPr>
          <w:vertAlign w:val="subscript"/>
        </w:rPr>
        <w:t>2</w:t>
      </w:r>
      <w:r>
        <w:t>，而后对其中的CO</w:t>
      </w:r>
      <w:r>
        <w:rPr>
          <w:vertAlign w:val="subscript"/>
        </w:rPr>
        <w:t>2</w:t>
      </w:r>
      <w:r>
        <w:t>进行分离。主要分离体系为CO</w:t>
      </w:r>
      <w:r>
        <w:rPr>
          <w:vertAlign w:val="subscript"/>
        </w:rPr>
        <w:t>2</w:t>
      </w:r>
      <w:r>
        <w:t>/H</w:t>
      </w:r>
      <w:r>
        <w:rPr>
          <w:vertAlign w:val="subscript"/>
        </w:rPr>
        <w:t>2</w:t>
      </w:r>
      <w:r>
        <w:t>体系，CO</w:t>
      </w:r>
      <w:r>
        <w:rPr>
          <w:vertAlign w:val="subscript"/>
        </w:rPr>
        <w:t>2</w:t>
      </w:r>
      <w:r>
        <w:t>捕集后得到的富氢燃气可用于燃烧发电，得到的CO</w:t>
      </w:r>
      <w:r>
        <w:rPr>
          <w:vertAlign w:val="subscript"/>
        </w:rPr>
        <w:t>2</w:t>
      </w:r>
      <w:r>
        <w:t>压缩纯化后可进行后续的利用或封存。燃烧后捕集主要用于燃煤电厂燃烧后的烟道气中CO</w:t>
      </w:r>
      <w:r>
        <w:rPr>
          <w:vertAlign w:val="subscript"/>
        </w:rPr>
        <w:t>2</w:t>
      </w:r>
      <w:r>
        <w:t>捕集。燃煤电厂烟道气是CO</w:t>
      </w:r>
      <w:r>
        <w:rPr>
          <w:vertAlign w:val="subscript"/>
        </w:rPr>
        <w:t>2</w:t>
      </w:r>
      <w:r>
        <w:t>长期、稳定和集中的排放源，占我国总排放量的30~40%。烟道气气量大，出口压力比较低，CO</w:t>
      </w:r>
      <w:r>
        <w:rPr>
          <w:vertAlign w:val="subscript"/>
        </w:rPr>
        <w:t>2</w:t>
      </w:r>
      <w:r>
        <w:t>浓度较低（一般</w:t>
      </w:r>
      <w:r>
        <w:rPr>
          <w:rFonts w:hint="eastAsia"/>
        </w:rPr>
        <w:t>电厂</w:t>
      </w:r>
      <w:r>
        <w:t>CO</w:t>
      </w:r>
      <w:r>
        <w:rPr>
          <w:vertAlign w:val="subscript"/>
        </w:rPr>
        <w:t>2</w:t>
      </w:r>
      <w:r>
        <w:t>浓度约为12%~19%）。</w:t>
      </w:r>
    </w:p>
    <w:p w14:paraId="6EEF19EB">
      <w:pPr>
        <w:pStyle w:val="23"/>
        <w:ind w:firstLine="480"/>
      </w:pPr>
      <w:r>
        <w:rPr>
          <w:rFonts w:hint="eastAsia"/>
        </w:rPr>
        <w:t>渗透速率、渗透系数和分离因子是膜性能的三个重要参数。渗透速率是气体的渗透通量和膜原料侧与截留侧的压力差之比，其单位为</w:t>
      </w:r>
      <w:r>
        <w:t>GPU（1 GPU=10</w:t>
      </w:r>
      <w:r>
        <w:rPr>
          <w:vertAlign w:val="superscript"/>
        </w:rPr>
        <w:t>-6</w:t>
      </w:r>
      <w:r>
        <w:t xml:space="preserve"> cm</w:t>
      </w:r>
      <w:r>
        <w:rPr>
          <w:vertAlign w:val="superscript"/>
        </w:rPr>
        <w:t>3</w:t>
      </w:r>
      <w:r>
        <w:t>(STP)·cm</w:t>
      </w:r>
      <w:r>
        <w:rPr>
          <w:vertAlign w:val="superscript"/>
        </w:rPr>
        <w:t>-2</w:t>
      </w:r>
      <w:r>
        <w:t>·s</w:t>
      </w:r>
      <w:r>
        <w:rPr>
          <w:vertAlign w:val="superscript"/>
        </w:rPr>
        <w:t>-1</w:t>
      </w:r>
      <w:r>
        <w:t>·cmHg</w:t>
      </w:r>
      <w:r>
        <w:rPr>
          <w:vertAlign w:val="superscript"/>
        </w:rPr>
        <w:t>-1</w:t>
      </w:r>
      <w:r>
        <w:t>= 3.35×10</w:t>
      </w:r>
      <w:r>
        <w:rPr>
          <w:vertAlign w:val="superscript"/>
        </w:rPr>
        <w:t>-10</w:t>
      </w:r>
      <w:r>
        <w:t xml:space="preserve"> mol·m</w:t>
      </w:r>
      <w:r>
        <w:rPr>
          <w:vertAlign w:val="superscript"/>
        </w:rPr>
        <w:t>-2</w:t>
      </w:r>
      <w:r>
        <w:t>·s</w:t>
      </w:r>
      <w:r>
        <w:rPr>
          <w:vertAlign w:val="superscript"/>
        </w:rPr>
        <w:t>-1</w:t>
      </w:r>
      <w:r>
        <w:t>·Pa</w:t>
      </w:r>
      <w:r>
        <w:rPr>
          <w:vertAlign w:val="superscript"/>
        </w:rPr>
        <w:t>-1</w:t>
      </w:r>
      <w:r>
        <w:t>）。渗透系数是渗透速率与膜厚度的乘积，其单位为barrer（1 barrer=10</w:t>
      </w:r>
      <w:r>
        <w:rPr>
          <w:vertAlign w:val="superscript"/>
        </w:rPr>
        <w:t>-10</w:t>
      </w:r>
      <w:r>
        <w:t xml:space="preserve"> cm</w:t>
      </w:r>
      <w:r>
        <w:rPr>
          <w:vertAlign w:val="superscript"/>
        </w:rPr>
        <w:t>3</w:t>
      </w:r>
      <w:r>
        <w:t>(STP) cm·cm</w:t>
      </w:r>
      <w:r>
        <w:rPr>
          <w:vertAlign w:val="superscript"/>
        </w:rPr>
        <w:t>-2</w:t>
      </w:r>
      <w:r>
        <w:t>·s</w:t>
      </w:r>
      <w:r>
        <w:rPr>
          <w:vertAlign w:val="superscript"/>
        </w:rPr>
        <w:t>-1</w:t>
      </w:r>
      <w:r>
        <w:t>·cmHg</w:t>
      </w:r>
      <w:r>
        <w:rPr>
          <w:vertAlign w:val="superscript"/>
        </w:rPr>
        <w:t>-1</w:t>
      </w:r>
      <w:r>
        <w:t xml:space="preserve"> =3.35×10</w:t>
      </w:r>
      <w:r>
        <w:rPr>
          <w:vertAlign w:val="superscript"/>
        </w:rPr>
        <w:t>-16</w:t>
      </w:r>
      <w:r>
        <w:t xml:space="preserve"> mol m·m</w:t>
      </w:r>
      <w:r>
        <w:rPr>
          <w:vertAlign w:val="superscript"/>
        </w:rPr>
        <w:t>-2</w:t>
      </w:r>
      <w:r>
        <w:t>·s</w:t>
      </w:r>
      <w:r>
        <w:rPr>
          <w:vertAlign w:val="superscript"/>
        </w:rPr>
        <w:t>-1</w:t>
      </w:r>
      <w:r>
        <w:t>·Pa</w:t>
      </w:r>
      <w:r>
        <w:rPr>
          <w:vertAlign w:val="superscript"/>
        </w:rPr>
        <w:t>-1</w:t>
      </w:r>
      <w:r>
        <w:t>）。分离因子包括真实分离因子、过程分离因子和理想分离因</w:t>
      </w:r>
      <w:r>
        <w:rPr>
          <w:rFonts w:hint="eastAsia"/>
        </w:rPr>
        <w:t>子。真实分离因子是混合气中渗透侧和原料侧</w:t>
      </w:r>
      <w:r>
        <w:t>CO</w:t>
      </w:r>
      <w:r>
        <w:rPr>
          <w:vertAlign w:val="subscript"/>
        </w:rPr>
        <w:t>2</w:t>
      </w:r>
      <w:r>
        <w:t>与N</w:t>
      </w:r>
      <w:r>
        <w:rPr>
          <w:vertAlign w:val="subscript"/>
        </w:rPr>
        <w:t>2</w:t>
      </w:r>
      <w:r>
        <w:t>或CO</w:t>
      </w:r>
      <w:r>
        <w:rPr>
          <w:vertAlign w:val="subscript"/>
        </w:rPr>
        <w:t>2</w:t>
      </w:r>
      <w:r>
        <w:t>与H</w:t>
      </w:r>
      <w:r>
        <w:rPr>
          <w:vertAlign w:val="subscript"/>
        </w:rPr>
        <w:t>2</w:t>
      </w:r>
      <w:r>
        <w:t>组成之比，过程分离因子是混合气中CO</w:t>
      </w:r>
      <w:r>
        <w:rPr>
          <w:vertAlign w:val="subscript"/>
        </w:rPr>
        <w:t>2</w:t>
      </w:r>
      <w:r>
        <w:t>与N</w:t>
      </w:r>
      <w:r>
        <w:rPr>
          <w:vertAlign w:val="subscript"/>
        </w:rPr>
        <w:t>2</w:t>
      </w:r>
      <w:r>
        <w:t>或CO</w:t>
      </w:r>
      <w:r>
        <w:rPr>
          <w:vertAlign w:val="subscript"/>
        </w:rPr>
        <w:t>2</w:t>
      </w:r>
      <w:r>
        <w:t>与H</w:t>
      </w:r>
      <w:r>
        <w:rPr>
          <w:vertAlign w:val="subscript"/>
        </w:rPr>
        <w:t>2</w:t>
      </w:r>
      <w:r>
        <w:t>渗透速率之比，理想分离因子是纯CO</w:t>
      </w:r>
      <w:r>
        <w:rPr>
          <w:vertAlign w:val="subscript"/>
        </w:rPr>
        <w:t>2</w:t>
      </w:r>
      <w:r>
        <w:t>与N</w:t>
      </w:r>
      <w:r>
        <w:rPr>
          <w:vertAlign w:val="subscript"/>
        </w:rPr>
        <w:t>2</w:t>
      </w:r>
      <w:r>
        <w:t>或纯CO</w:t>
      </w:r>
      <w:r>
        <w:rPr>
          <w:vertAlign w:val="subscript"/>
        </w:rPr>
        <w:t>2</w:t>
      </w:r>
      <w:r>
        <w:t>与H</w:t>
      </w:r>
      <w:r>
        <w:rPr>
          <w:vertAlign w:val="subscript"/>
        </w:rPr>
        <w:t>2</w:t>
      </w:r>
      <w:r>
        <w:t>渗透速率之比。</w:t>
      </w:r>
    </w:p>
    <w:p w14:paraId="753F822D">
      <w:pPr>
        <w:pStyle w:val="2"/>
        <w:spacing w:before="156" w:after="156"/>
      </w:pPr>
      <w:bookmarkStart w:id="23" w:name="_Toc184600178"/>
      <w:r>
        <w:t>标准制定原则</w:t>
      </w:r>
      <w:bookmarkEnd w:id="23"/>
    </w:p>
    <w:p w14:paraId="20720045">
      <w:pPr>
        <w:pStyle w:val="23"/>
        <w:ind w:firstLine="480"/>
        <w:rPr>
          <w:rFonts w:cs="Times New Roman"/>
        </w:rPr>
      </w:pPr>
      <w:r>
        <w:rPr>
          <w:rFonts w:cs="Times New Roman"/>
        </w:rPr>
        <w:t>《</w:t>
      </w:r>
      <w:r>
        <w:rPr>
          <w:rFonts w:hint="eastAsia" w:cs="Times New Roman"/>
        </w:rPr>
        <w:t>煤化工行业碳捕集项目评价指南</w:t>
      </w:r>
      <w:r>
        <w:rPr>
          <w:rFonts w:cs="Times New Roman"/>
        </w:rPr>
        <w:t>》团体标准制定的目的是适应煤化工单位产品生产工艺碳捕集水平现状，保证标准的科学性和实用性，指导煤化工行业的稳定健康发展。</w:t>
      </w:r>
    </w:p>
    <w:p w14:paraId="50811DB9">
      <w:pPr>
        <w:pStyle w:val="23"/>
        <w:ind w:firstLine="480"/>
        <w:rPr>
          <w:rFonts w:cs="Times New Roman"/>
        </w:rPr>
      </w:pPr>
      <w:r>
        <w:rPr>
          <w:rFonts w:cs="Times New Roman"/>
        </w:rPr>
        <w:t>编制时遵循了下列原则：</w:t>
      </w:r>
    </w:p>
    <w:p w14:paraId="045E2711">
      <w:pPr>
        <w:pStyle w:val="23"/>
        <w:ind w:firstLine="480"/>
        <w:rPr>
          <w:rFonts w:cs="Times New Roman"/>
        </w:rPr>
      </w:pPr>
      <w:r>
        <w:rPr>
          <w:rFonts w:cs="Times New Roman"/>
        </w:rPr>
        <w:t>（1）充分考虑我国煤化工行业碳捕集水平和特点，以及行业碳捕集措施和低碳发展的需求；</w:t>
      </w:r>
    </w:p>
    <w:p w14:paraId="2B0D5706">
      <w:pPr>
        <w:pStyle w:val="23"/>
        <w:ind w:firstLine="480"/>
        <w:rPr>
          <w:rFonts w:cs="Times New Roman"/>
        </w:rPr>
      </w:pPr>
      <w:r>
        <w:rPr>
          <w:rFonts w:cs="Times New Roman"/>
        </w:rPr>
        <w:t>（2）符合国家煤化工产业以及CCUS相关政策。</w:t>
      </w:r>
    </w:p>
    <w:p w14:paraId="39D03C39">
      <w:pPr>
        <w:pStyle w:val="2"/>
        <w:spacing w:before="156" w:after="156"/>
      </w:pPr>
      <w:bookmarkStart w:id="24" w:name="_Toc184600179"/>
      <w:r>
        <w:t>标准主要编制内容和编制说明</w:t>
      </w:r>
      <w:bookmarkEnd w:id="24"/>
    </w:p>
    <w:p w14:paraId="04A335A5">
      <w:pPr>
        <w:pStyle w:val="3"/>
        <w:spacing w:before="156" w:after="156"/>
      </w:pPr>
      <w:bookmarkStart w:id="25" w:name="_Toc184600180"/>
      <w:r>
        <w:t>范围</w:t>
      </w:r>
      <w:bookmarkEnd w:id="25"/>
    </w:p>
    <w:p w14:paraId="10A359EA">
      <w:pPr>
        <w:pStyle w:val="23"/>
        <w:ind w:firstLine="480"/>
        <w:rPr>
          <w:rFonts w:cs="Times New Roman"/>
        </w:rPr>
      </w:pPr>
      <w:r>
        <w:rPr>
          <w:rFonts w:hint="eastAsia" w:cs="Times New Roman"/>
        </w:rPr>
        <w:t>本标准适用于现代煤化工行业二氧化碳捕集项目的技术评价。</w:t>
      </w:r>
    </w:p>
    <w:p w14:paraId="044DB3BE">
      <w:pPr>
        <w:pStyle w:val="23"/>
        <w:ind w:firstLine="480"/>
        <w:rPr>
          <w:rFonts w:cs="Times New Roman"/>
        </w:rPr>
      </w:pPr>
      <w:r>
        <w:rPr>
          <w:rFonts w:hint="eastAsia" w:cs="Times New Roman"/>
        </w:rPr>
        <w:t>本标准规定了现代煤化工行业中煤炭气化、煤制甲醇、煤炭液化、煤制烯烃工艺涉及的工艺排放过程中的碳捕集技术评价。</w:t>
      </w:r>
    </w:p>
    <w:p w14:paraId="33F5275D">
      <w:pPr>
        <w:pStyle w:val="3"/>
        <w:spacing w:before="156" w:after="156"/>
      </w:pPr>
      <w:bookmarkStart w:id="26" w:name="_Toc184600181"/>
      <w:r>
        <w:t>术语和定义</w:t>
      </w:r>
      <w:bookmarkEnd w:id="26"/>
    </w:p>
    <w:p w14:paraId="5EF3DC1F">
      <w:pPr>
        <w:pStyle w:val="23"/>
        <w:ind w:firstLine="480"/>
        <w:rPr>
          <w:rFonts w:cs="Times New Roman"/>
        </w:rPr>
      </w:pPr>
      <w:r>
        <w:rPr>
          <w:rFonts w:cs="Times New Roman"/>
        </w:rPr>
        <w:t>本标准参照</w:t>
      </w:r>
      <w:r>
        <w:rPr>
          <w:rFonts w:hint="eastAsia" w:cs="Times New Roman"/>
        </w:rPr>
        <w:t>《</w:t>
      </w:r>
      <w:r>
        <w:rPr>
          <w:rFonts w:cs="Times New Roman"/>
        </w:rPr>
        <w:t>煤化工术语</w:t>
      </w:r>
      <w:r>
        <w:rPr>
          <w:rFonts w:hint="eastAsia" w:cs="Times New Roman"/>
        </w:rPr>
        <w:t>》(</w:t>
      </w:r>
      <w:r>
        <w:rPr>
          <w:rFonts w:cs="Times New Roman"/>
        </w:rPr>
        <w:t>GB/T31428)</w:t>
      </w:r>
      <w:r>
        <w:rPr>
          <w:rFonts w:hint="eastAsia" w:cs="Times New Roman"/>
        </w:rPr>
        <w:t>、《</w:t>
      </w:r>
      <w:r>
        <w:rPr>
          <w:rFonts w:cs="Times New Roman"/>
        </w:rPr>
        <w:t>节水型企业现代煤化工行业</w:t>
      </w:r>
      <w:r>
        <w:rPr>
          <w:rFonts w:hint="eastAsia" w:cs="Times New Roman"/>
        </w:rPr>
        <w:t>》(</w:t>
      </w:r>
      <w:r>
        <w:rPr>
          <w:rFonts w:cs="Times New Roman"/>
        </w:rPr>
        <w:t>GB/T37759)</w:t>
      </w:r>
      <w:r>
        <w:rPr>
          <w:rFonts w:hint="eastAsia" w:cs="Times New Roman"/>
        </w:rPr>
        <w:t>、《</w:t>
      </w:r>
      <w:r>
        <w:rPr>
          <w:rFonts w:cs="Times New Roman"/>
        </w:rPr>
        <w:t>煤炭工业污染物排放标准</w:t>
      </w:r>
      <w:r>
        <w:rPr>
          <w:rFonts w:hint="eastAsia" w:cs="Times New Roman"/>
        </w:rPr>
        <w:t>》(</w:t>
      </w:r>
      <w:r>
        <w:rPr>
          <w:rFonts w:cs="Times New Roman"/>
        </w:rPr>
        <w:t>GB20426)</w:t>
      </w:r>
      <w:r>
        <w:rPr>
          <w:rFonts w:hint="eastAsia" w:cs="Times New Roman"/>
        </w:rPr>
        <w:t>、《</w:t>
      </w:r>
      <w:r>
        <w:rPr>
          <w:rFonts w:cs="Times New Roman"/>
        </w:rPr>
        <w:t>炼焦化学工业污染物排放标准</w:t>
      </w:r>
      <w:r>
        <w:rPr>
          <w:rFonts w:hint="eastAsia" w:cs="Times New Roman"/>
        </w:rPr>
        <w:t>》(</w:t>
      </w:r>
      <w:r>
        <w:rPr>
          <w:rFonts w:cs="Times New Roman"/>
        </w:rPr>
        <w:t>GB16171)</w:t>
      </w:r>
      <w:r>
        <w:rPr>
          <w:rFonts w:hint="eastAsia" w:cs="Times New Roman"/>
        </w:rPr>
        <w:t>、《</w:t>
      </w:r>
      <w:r>
        <w:rPr>
          <w:rFonts w:cs="Times New Roman"/>
        </w:rPr>
        <w:t>工业企业温室气体排放核算和报告通则</w:t>
      </w:r>
      <w:r>
        <w:rPr>
          <w:rFonts w:hint="eastAsia" w:cs="Times New Roman"/>
        </w:rPr>
        <w:t>》(</w:t>
      </w:r>
      <w:r>
        <w:rPr>
          <w:rFonts w:cs="Times New Roman"/>
        </w:rPr>
        <w:t>GB∕T32150)</w:t>
      </w:r>
      <w:r>
        <w:rPr>
          <w:rFonts w:hint="eastAsia" w:cs="Times New Roman"/>
        </w:rPr>
        <w:t>、《</w:t>
      </w:r>
      <w:r>
        <w:rPr>
          <w:rFonts w:cs="Times New Roman"/>
        </w:rPr>
        <w:t>烟气二氧化碳捕集纯化工程设计标准</w:t>
      </w:r>
      <w:r>
        <w:rPr>
          <w:rFonts w:hint="eastAsia" w:cs="Times New Roman"/>
        </w:rPr>
        <w:t>》(</w:t>
      </w:r>
      <w:r>
        <w:rPr>
          <w:rFonts w:cs="Times New Roman"/>
        </w:rPr>
        <w:t>GB/T51316-2018)</w:t>
      </w:r>
      <w:r>
        <w:rPr>
          <w:rFonts w:hint="eastAsia" w:cs="Times New Roman"/>
        </w:rPr>
        <w:t>、《</w:t>
      </w:r>
      <w:r>
        <w:rPr>
          <w:rFonts w:cs="Times New Roman"/>
        </w:rPr>
        <w:t>火力发电厂可行性研究报告内容深度规定</w:t>
      </w:r>
      <w:r>
        <w:rPr>
          <w:rFonts w:hint="eastAsia" w:cs="Times New Roman"/>
        </w:rPr>
        <w:t>》(</w:t>
      </w:r>
      <w:r>
        <w:rPr>
          <w:rFonts w:cs="Times New Roman"/>
        </w:rPr>
        <w:t>DL/T5375-2018)</w:t>
      </w:r>
      <w:r>
        <w:rPr>
          <w:rFonts w:hint="eastAsia" w:cs="Times New Roman"/>
        </w:rPr>
        <w:t>、中国石油化工生产企业温室气体排放核算方法与报告指南（试行版，发改办气候</w:t>
      </w:r>
      <w:r>
        <w:rPr>
          <w:rFonts w:cs="Times New Roman"/>
        </w:rPr>
        <w:t>[2014]2920号）</w:t>
      </w:r>
      <w:r>
        <w:rPr>
          <w:rFonts w:hint="eastAsia" w:cs="Times New Roman"/>
        </w:rPr>
        <w:t>、</w:t>
      </w:r>
      <w:r>
        <w:rPr>
          <w:rFonts w:cs="Times New Roman"/>
        </w:rPr>
        <w:t>省级温室气体清单编制指南（试行版，发改办气候[2010]2350号）</w:t>
      </w:r>
      <w:r>
        <w:rPr>
          <w:rFonts w:hint="eastAsia" w:cs="Times New Roman"/>
        </w:rPr>
        <w:t>和企业温室气体排放核算方法与报告指南发电设施（试行版，环办气候</w:t>
      </w:r>
      <w:r>
        <w:rPr>
          <w:rFonts w:cs="Times New Roman"/>
        </w:rPr>
        <w:t>[2021]9号）等术语和定义。</w:t>
      </w:r>
    </w:p>
    <w:p w14:paraId="4C507A16">
      <w:pPr>
        <w:pStyle w:val="3"/>
        <w:spacing w:before="156" w:after="156"/>
      </w:pPr>
      <w:bookmarkStart w:id="27" w:name="_Toc184600182"/>
      <w:r>
        <w:t>技术要求</w:t>
      </w:r>
      <w:bookmarkEnd w:id="27"/>
    </w:p>
    <w:p w14:paraId="4272024F">
      <w:pPr>
        <w:pStyle w:val="23"/>
        <w:ind w:firstLine="480"/>
      </w:pPr>
      <w:r>
        <w:rPr>
          <w:rFonts w:hint="eastAsia"/>
        </w:rPr>
        <w:t>煤化工行业碳排放主要来自低温甲醇洗工艺、燃煤烟气以及制氢尾气等，涉及的碳捕集技术包括化学吸收法、固体吸附法、膜分离法和低温分离法。碳捕集选择方法应依据原料气排放量、温度、压力以及二氧化碳浓度，结合</w:t>
      </w:r>
      <w:r>
        <w:t>CO</w:t>
      </w:r>
      <w:r>
        <w:rPr>
          <w:vertAlign w:val="subscript"/>
        </w:rPr>
        <w:t>2</w:t>
      </w:r>
      <w:r>
        <w:rPr>
          <w:rFonts w:hint="eastAsia"/>
        </w:rPr>
        <w:t>产品</w:t>
      </w:r>
      <w:r>
        <w:t>所要求达到的指标</w:t>
      </w:r>
      <w:r>
        <w:rPr>
          <w:rFonts w:hint="eastAsia"/>
        </w:rPr>
        <w:t>等参数确定，提出</w:t>
      </w:r>
      <w:r>
        <w:t>可供选择的碳捕集工艺方法。</w:t>
      </w:r>
    </w:p>
    <w:p w14:paraId="2ACF6478">
      <w:pPr>
        <w:pStyle w:val="23"/>
        <w:ind w:firstLine="480"/>
        <w:rPr>
          <w:rFonts w:hint="eastAsia"/>
        </w:rPr>
      </w:pPr>
      <w:r>
        <w:rPr>
          <w:rFonts w:hint="eastAsia"/>
        </w:rPr>
        <w:t>应根据煤化工行业排放二氧化碳实际情况列出工艺方法比选表，参见表1</w:t>
      </w:r>
      <w:r>
        <w:t>1</w:t>
      </w:r>
      <w:r>
        <w:rPr>
          <w:rFonts w:hint="eastAsia"/>
        </w:rPr>
        <w:t>，提出推荐的工艺方法。</w:t>
      </w:r>
    </w:p>
    <w:p w14:paraId="1B7156A8">
      <w:pPr>
        <w:pStyle w:val="28"/>
      </w:pPr>
      <w:r>
        <w:t>表</w:t>
      </w:r>
      <w:r>
        <w:fldChar w:fldCharType="begin"/>
      </w:r>
      <w:r>
        <w:instrText xml:space="preserve"> SEQ 表 \* ARABIC </w:instrText>
      </w:r>
      <w:r>
        <w:fldChar w:fldCharType="separate"/>
      </w:r>
      <w:r>
        <w:t>11</w:t>
      </w:r>
      <w:r>
        <w:fldChar w:fldCharType="end"/>
      </w:r>
      <w:r>
        <w:t xml:space="preserve"> </w:t>
      </w:r>
      <w:r>
        <w:rPr>
          <w:rFonts w:hint="eastAsia"/>
        </w:rPr>
        <w:t>煤化工行业二氧化碳捕集方法综合评价</w:t>
      </w:r>
    </w:p>
    <w:tbl>
      <w:tblPr>
        <w:tblStyle w:val="16"/>
        <w:tblW w:w="5134" w:type="pct"/>
        <w:jc w:val="center"/>
        <w:tblBorders>
          <w:top w:val="single" w:color="auto" w:sz="12" w:space="0"/>
          <w:left w:val="none" w:color="auto" w:sz="0" w:space="0"/>
          <w:bottom w:val="single" w:color="auto" w:sz="12" w:space="0"/>
          <w:right w:val="none" w:color="auto" w:sz="0" w:space="0"/>
          <w:insideH w:val="single" w:color="auto" w:sz="8" w:space="0"/>
          <w:insideV w:val="none" w:color="auto" w:sz="0" w:space="0"/>
        </w:tblBorders>
        <w:tblLayout w:type="autofit"/>
        <w:tblCellMar>
          <w:top w:w="0" w:type="dxa"/>
          <w:left w:w="108" w:type="dxa"/>
          <w:bottom w:w="0" w:type="dxa"/>
          <w:right w:w="108" w:type="dxa"/>
        </w:tblCellMar>
      </w:tblPr>
      <w:tblGrid>
        <w:gridCol w:w="1498"/>
        <w:gridCol w:w="4258"/>
        <w:gridCol w:w="2994"/>
      </w:tblGrid>
      <w:tr w14:paraId="5D0FC37D">
        <w:tblPrEx>
          <w:tblBorders>
            <w:top w:val="single" w:color="auto" w:sz="12" w:space="0"/>
            <w:left w:val="none" w:color="auto" w:sz="0" w:space="0"/>
            <w:bottom w:val="single" w:color="auto" w:sz="12" w:space="0"/>
            <w:right w:val="none" w:color="auto" w:sz="0" w:space="0"/>
            <w:insideH w:val="single" w:color="auto" w:sz="8" w:space="0"/>
            <w:insideV w:val="none" w:color="auto" w:sz="0" w:space="0"/>
          </w:tblBorders>
          <w:tblCellMar>
            <w:top w:w="0" w:type="dxa"/>
            <w:left w:w="108" w:type="dxa"/>
            <w:bottom w:w="0" w:type="dxa"/>
            <w:right w:w="108" w:type="dxa"/>
          </w:tblCellMar>
        </w:tblPrEx>
        <w:trPr>
          <w:trHeight w:val="451" w:hRule="atLeast"/>
          <w:jc w:val="center"/>
        </w:trPr>
        <w:tc>
          <w:tcPr>
            <w:tcW w:w="856" w:type="pct"/>
            <w:vAlign w:val="center"/>
          </w:tcPr>
          <w:p w14:paraId="5F059415">
            <w:pPr>
              <w:pStyle w:val="26"/>
            </w:pPr>
            <w:r>
              <w:t>捕集纯化方法</w:t>
            </w:r>
          </w:p>
        </w:tc>
        <w:tc>
          <w:tcPr>
            <w:tcW w:w="2433" w:type="pct"/>
            <w:vAlign w:val="center"/>
          </w:tcPr>
          <w:p w14:paraId="740EBFDE">
            <w:pPr>
              <w:pStyle w:val="26"/>
            </w:pPr>
            <w:r>
              <w:t>优点</w:t>
            </w:r>
          </w:p>
        </w:tc>
        <w:tc>
          <w:tcPr>
            <w:tcW w:w="1711" w:type="pct"/>
            <w:vAlign w:val="center"/>
          </w:tcPr>
          <w:p w14:paraId="74E3AA78">
            <w:pPr>
              <w:pStyle w:val="26"/>
            </w:pPr>
            <w:r>
              <w:t>缺点</w:t>
            </w:r>
          </w:p>
        </w:tc>
      </w:tr>
      <w:tr w14:paraId="3C718947">
        <w:tblPrEx>
          <w:tblBorders>
            <w:top w:val="single" w:color="auto" w:sz="12" w:space="0"/>
            <w:left w:val="none" w:color="auto" w:sz="0" w:space="0"/>
            <w:bottom w:val="single" w:color="auto" w:sz="12" w:space="0"/>
            <w:right w:val="none" w:color="auto" w:sz="0" w:space="0"/>
            <w:insideH w:val="single" w:color="auto" w:sz="8" w:space="0"/>
            <w:insideV w:val="none" w:color="auto" w:sz="0" w:space="0"/>
          </w:tblBorders>
          <w:tblCellMar>
            <w:top w:w="0" w:type="dxa"/>
            <w:left w:w="108" w:type="dxa"/>
            <w:bottom w:w="0" w:type="dxa"/>
            <w:right w:w="108" w:type="dxa"/>
          </w:tblCellMar>
        </w:tblPrEx>
        <w:trPr>
          <w:jc w:val="center"/>
        </w:trPr>
        <w:tc>
          <w:tcPr>
            <w:tcW w:w="856" w:type="pct"/>
            <w:vAlign w:val="center"/>
          </w:tcPr>
          <w:p w14:paraId="40CB8307">
            <w:pPr>
              <w:pStyle w:val="26"/>
            </w:pPr>
            <w:r>
              <w:t>化学吸收法</w:t>
            </w:r>
          </w:p>
        </w:tc>
        <w:tc>
          <w:tcPr>
            <w:tcW w:w="2433" w:type="pct"/>
            <w:vAlign w:val="center"/>
          </w:tcPr>
          <w:p w14:paraId="5A6E7D9B">
            <w:pPr>
              <w:pStyle w:val="26"/>
            </w:pPr>
            <w:r>
              <w:t>现阶段最具规模化应用前景的燃烧后碳捕集技术，技术成熟度和安全性较高，国际上已经完成工业示范和商业运行；</w:t>
            </w:r>
          </w:p>
          <w:p w14:paraId="5BD589E2">
            <w:pPr>
              <w:pStyle w:val="26"/>
            </w:pPr>
            <w:r>
              <w:t>可直接应用于燃煤/燃气、工业锅炉等烟气CO</w:t>
            </w:r>
            <w:r>
              <w:rPr>
                <w:vertAlign w:val="subscript"/>
              </w:rPr>
              <w:t>2</w:t>
            </w:r>
            <w:r>
              <w:t>大规模减排；</w:t>
            </w:r>
          </w:p>
          <w:p w14:paraId="2A17967E">
            <w:pPr>
              <w:pStyle w:val="26"/>
            </w:pPr>
            <w:r>
              <w:t>CO</w:t>
            </w:r>
            <w:r>
              <w:rPr>
                <w:vertAlign w:val="subscript"/>
              </w:rPr>
              <w:t>2</w:t>
            </w:r>
            <w:r>
              <w:t>捕集率高，CO</w:t>
            </w:r>
            <w:r>
              <w:rPr>
                <w:vertAlign w:val="subscript"/>
              </w:rPr>
              <w:t>2</w:t>
            </w:r>
            <w:r>
              <w:t>产品纯度高；</w:t>
            </w:r>
          </w:p>
          <w:p w14:paraId="65F52F1F">
            <w:pPr>
              <w:pStyle w:val="26"/>
            </w:pPr>
            <w:r>
              <w:t>高压条件下具有物理吸附特性、吸收能力强；</w:t>
            </w:r>
          </w:p>
          <w:p w14:paraId="0A1D9FD1">
            <w:pPr>
              <w:pStyle w:val="26"/>
            </w:pPr>
            <w:r>
              <w:t>反应解吸温度低；</w:t>
            </w:r>
          </w:p>
          <w:p w14:paraId="2D88C974">
            <w:pPr>
              <w:pStyle w:val="26"/>
            </w:pPr>
            <w:r>
              <w:t>造成的环境污染小且可控</w:t>
            </w:r>
          </w:p>
        </w:tc>
        <w:tc>
          <w:tcPr>
            <w:tcW w:w="1711" w:type="pct"/>
            <w:vAlign w:val="center"/>
          </w:tcPr>
          <w:p w14:paraId="73A52747">
            <w:pPr>
              <w:pStyle w:val="26"/>
            </w:pPr>
            <w:r>
              <w:t>胺液易氧化降解；</w:t>
            </w:r>
          </w:p>
          <w:p w14:paraId="21E0BB37">
            <w:pPr>
              <w:pStyle w:val="26"/>
            </w:pPr>
            <w:r>
              <w:t>胺逃逸造成环境二次污染；</w:t>
            </w:r>
          </w:p>
          <w:p w14:paraId="457B0087">
            <w:pPr>
              <w:pStyle w:val="26"/>
            </w:pPr>
            <w:r>
              <w:t>低压条件下吸收能力小；</w:t>
            </w:r>
          </w:p>
          <w:p w14:paraId="1AD002D4">
            <w:pPr>
              <w:pStyle w:val="26"/>
            </w:pPr>
            <w:r>
              <w:t>溶液循环量大；能耗较高；</w:t>
            </w:r>
          </w:p>
          <w:p w14:paraId="390932F1">
            <w:pPr>
              <w:pStyle w:val="26"/>
            </w:pPr>
            <w:r>
              <w:t>吸收剂消耗大；</w:t>
            </w:r>
          </w:p>
          <w:p w14:paraId="1FFCB326">
            <w:pPr>
              <w:pStyle w:val="26"/>
              <w:rPr>
                <w:rFonts w:hint="eastAsia"/>
              </w:rPr>
            </w:pPr>
            <w:r>
              <w:t>有机胺呈弱碱性和腐蚀性，对人员的安全和 健康造成一定影响，腐蚀性会造成设备损坏。</w:t>
            </w:r>
          </w:p>
        </w:tc>
      </w:tr>
      <w:tr w14:paraId="54B1AA1A">
        <w:tblPrEx>
          <w:tblBorders>
            <w:top w:val="single" w:color="auto" w:sz="12" w:space="0"/>
            <w:left w:val="none" w:color="auto" w:sz="0" w:space="0"/>
            <w:bottom w:val="single" w:color="auto" w:sz="12" w:space="0"/>
            <w:right w:val="none" w:color="auto" w:sz="0" w:space="0"/>
            <w:insideH w:val="single" w:color="auto" w:sz="8" w:space="0"/>
            <w:insideV w:val="none" w:color="auto" w:sz="0" w:space="0"/>
          </w:tblBorders>
          <w:tblCellMar>
            <w:top w:w="0" w:type="dxa"/>
            <w:left w:w="108" w:type="dxa"/>
            <w:bottom w:w="0" w:type="dxa"/>
            <w:right w:w="108" w:type="dxa"/>
          </w:tblCellMar>
        </w:tblPrEx>
        <w:trPr>
          <w:jc w:val="center"/>
        </w:trPr>
        <w:tc>
          <w:tcPr>
            <w:tcW w:w="856" w:type="pct"/>
            <w:vAlign w:val="center"/>
          </w:tcPr>
          <w:p w14:paraId="6AAC45C7">
            <w:pPr>
              <w:pStyle w:val="26"/>
            </w:pPr>
            <w:r>
              <w:t>物理吸收法</w:t>
            </w:r>
          </w:p>
        </w:tc>
        <w:tc>
          <w:tcPr>
            <w:tcW w:w="2433" w:type="pct"/>
            <w:vAlign w:val="center"/>
          </w:tcPr>
          <w:p w14:paraId="6DFDCD17">
            <w:pPr>
              <w:pStyle w:val="26"/>
            </w:pPr>
            <w:r>
              <w:t>（1）工艺流程简单、能耗低、成本可控；</w:t>
            </w:r>
          </w:p>
          <w:p w14:paraId="3CB1D77A">
            <w:pPr>
              <w:pStyle w:val="26"/>
            </w:pPr>
            <w:r>
              <w:t>（2）吸收效率高：物理吸收方法通常具有较高的CO</w:t>
            </w:r>
            <w:r>
              <w:rPr>
                <w:vertAlign w:val="subscript"/>
              </w:rPr>
              <w:t>2</w:t>
            </w:r>
            <w:r>
              <w:t>吸收效率，能够快速地从气源中分离出CO</w:t>
            </w:r>
            <w:r>
              <w:rPr>
                <w:vertAlign w:val="subscript"/>
              </w:rPr>
              <w:t>2</w:t>
            </w:r>
            <w:r>
              <w:t>；</w:t>
            </w:r>
          </w:p>
          <w:p w14:paraId="0DA4415C">
            <w:pPr>
              <w:pStyle w:val="26"/>
            </w:pPr>
            <w:r>
              <w:t>（3）操作简便：相比于一些复杂的化学吸收方法，物理吸收法的操作过程相对简单，更容易实现大规模生产；</w:t>
            </w:r>
          </w:p>
          <w:p w14:paraId="5AEE00F1">
            <w:pPr>
              <w:pStyle w:val="26"/>
              <w:rPr>
                <w:rFonts w:hint="eastAsia"/>
              </w:rPr>
            </w:pPr>
            <w:r>
              <w:t>（4）便于重复使用：有些物理吸收材料可以重复使用，成本低，经济效益好。</w:t>
            </w:r>
          </w:p>
        </w:tc>
        <w:tc>
          <w:tcPr>
            <w:tcW w:w="1711" w:type="pct"/>
            <w:vAlign w:val="center"/>
          </w:tcPr>
          <w:p w14:paraId="77A700D4">
            <w:pPr>
              <w:pStyle w:val="26"/>
            </w:pPr>
            <w:r>
              <w:t>（1）吸收材料成本高：某些物理吸收材料价格昂贵，可能会增加捕集成本；</w:t>
            </w:r>
          </w:p>
          <w:p w14:paraId="5CD7B8B4">
            <w:pPr>
              <w:pStyle w:val="26"/>
            </w:pPr>
            <w:r>
              <w:t>（2）吸收容量有限：物理吸收材料的吸附容量有限，需要定期更换或再生，增加了维护成本；</w:t>
            </w:r>
          </w:p>
          <w:p w14:paraId="5AD5BC9D">
            <w:pPr>
              <w:pStyle w:val="26"/>
            </w:pPr>
            <w:r>
              <w:t>（3）对CO</w:t>
            </w:r>
            <w:r>
              <w:rPr>
                <w:vertAlign w:val="subscript"/>
              </w:rPr>
              <w:t>2</w:t>
            </w:r>
            <w:r>
              <w:t>的捕集选择性较低：物理吸收法对CO</w:t>
            </w:r>
            <w:r>
              <w:rPr>
                <w:vertAlign w:val="subscript"/>
              </w:rPr>
              <w:t>2</w:t>
            </w:r>
            <w:r>
              <w:t>的捕集选择性相对较低，可能会导致部分非目标气体的捕集。</w:t>
            </w:r>
          </w:p>
        </w:tc>
      </w:tr>
      <w:tr w14:paraId="5644B5A3">
        <w:tblPrEx>
          <w:tblBorders>
            <w:top w:val="single" w:color="auto" w:sz="12" w:space="0"/>
            <w:left w:val="none" w:color="auto" w:sz="0" w:space="0"/>
            <w:bottom w:val="single" w:color="auto" w:sz="12" w:space="0"/>
            <w:right w:val="none" w:color="auto" w:sz="0" w:space="0"/>
            <w:insideH w:val="single" w:color="auto" w:sz="8" w:space="0"/>
            <w:insideV w:val="none" w:color="auto" w:sz="0" w:space="0"/>
          </w:tblBorders>
          <w:tblCellMar>
            <w:top w:w="0" w:type="dxa"/>
            <w:left w:w="108" w:type="dxa"/>
            <w:bottom w:w="0" w:type="dxa"/>
            <w:right w:w="108" w:type="dxa"/>
          </w:tblCellMar>
        </w:tblPrEx>
        <w:trPr>
          <w:jc w:val="center"/>
        </w:trPr>
        <w:tc>
          <w:tcPr>
            <w:tcW w:w="856" w:type="pct"/>
            <w:vAlign w:val="center"/>
          </w:tcPr>
          <w:p w14:paraId="3ED783D5">
            <w:pPr>
              <w:pStyle w:val="26"/>
            </w:pPr>
            <w:r>
              <w:t>变温吸附法</w:t>
            </w:r>
          </w:p>
        </w:tc>
        <w:tc>
          <w:tcPr>
            <w:tcW w:w="2433" w:type="pct"/>
            <w:vAlign w:val="center"/>
          </w:tcPr>
          <w:p w14:paraId="6CE95ACB">
            <w:pPr>
              <w:pStyle w:val="26"/>
            </w:pPr>
            <w:r>
              <w:t>操作弹性大，CO</w:t>
            </w:r>
            <w:r>
              <w:rPr>
                <w:vertAlign w:val="subscript"/>
              </w:rPr>
              <w:t>2</w:t>
            </w:r>
            <w:r>
              <w:t>成品质量稳定</w:t>
            </w:r>
          </w:p>
          <w:p w14:paraId="4F4D0479">
            <w:pPr>
              <w:pStyle w:val="26"/>
            </w:pPr>
            <w:r>
              <w:t>工艺简单，技术安全性较高；</w:t>
            </w:r>
          </w:p>
          <w:p w14:paraId="58B170FE">
            <w:pPr>
              <w:pStyle w:val="26"/>
            </w:pPr>
            <w:r>
              <w:t>运行过程无溶剂挥发对环境影响小；</w:t>
            </w:r>
          </w:p>
          <w:p w14:paraId="2A48B4B7">
            <w:pPr>
              <w:pStyle w:val="26"/>
            </w:pPr>
            <w:r>
              <w:t>无设备腐蚀问题。</w:t>
            </w:r>
          </w:p>
        </w:tc>
        <w:tc>
          <w:tcPr>
            <w:tcW w:w="1711" w:type="pct"/>
            <w:vAlign w:val="center"/>
          </w:tcPr>
          <w:p w14:paraId="42498E4C">
            <w:pPr>
              <w:pStyle w:val="26"/>
            </w:pPr>
            <w:r>
              <w:t>预处理工艺复杂；</w:t>
            </w:r>
          </w:p>
          <w:p w14:paraId="1AE4CDD5">
            <w:pPr>
              <w:pStyle w:val="26"/>
            </w:pPr>
            <w:r>
              <w:t>产品纯度低，回收率低；</w:t>
            </w:r>
          </w:p>
          <w:p w14:paraId="56B91E26">
            <w:pPr>
              <w:pStyle w:val="26"/>
            </w:pPr>
            <w:r>
              <w:t>在我国多处于中试阶段；</w:t>
            </w:r>
          </w:p>
          <w:p w14:paraId="16C6735F">
            <w:pPr>
              <w:pStyle w:val="26"/>
            </w:pPr>
            <w:r>
              <w:t>单位捕集CO</w:t>
            </w:r>
            <w:r>
              <w:rPr>
                <w:vertAlign w:val="subscript"/>
              </w:rPr>
              <w:t>2</w:t>
            </w:r>
            <w:r>
              <w:t xml:space="preserve"> 设备投资较高。</w:t>
            </w:r>
          </w:p>
        </w:tc>
      </w:tr>
      <w:tr w14:paraId="34142954">
        <w:tblPrEx>
          <w:tblBorders>
            <w:top w:val="single" w:color="auto" w:sz="12" w:space="0"/>
            <w:left w:val="none" w:color="auto" w:sz="0" w:space="0"/>
            <w:bottom w:val="single" w:color="auto" w:sz="12" w:space="0"/>
            <w:right w:val="none" w:color="auto" w:sz="0" w:space="0"/>
            <w:insideH w:val="single" w:color="auto" w:sz="8" w:space="0"/>
            <w:insideV w:val="none" w:color="auto" w:sz="0" w:space="0"/>
          </w:tblBorders>
          <w:tblCellMar>
            <w:top w:w="0" w:type="dxa"/>
            <w:left w:w="108" w:type="dxa"/>
            <w:bottom w:w="0" w:type="dxa"/>
            <w:right w:w="108" w:type="dxa"/>
          </w:tblCellMar>
        </w:tblPrEx>
        <w:trPr>
          <w:jc w:val="center"/>
        </w:trPr>
        <w:tc>
          <w:tcPr>
            <w:tcW w:w="856" w:type="pct"/>
            <w:vAlign w:val="center"/>
          </w:tcPr>
          <w:p w14:paraId="24F91BE9">
            <w:pPr>
              <w:pStyle w:val="26"/>
            </w:pPr>
            <w:r>
              <w:t>变压吸附法</w:t>
            </w:r>
          </w:p>
        </w:tc>
        <w:tc>
          <w:tcPr>
            <w:tcW w:w="2433" w:type="pct"/>
            <w:vAlign w:val="center"/>
          </w:tcPr>
          <w:p w14:paraId="03B0907E">
            <w:pPr>
              <w:pStyle w:val="26"/>
            </w:pPr>
            <w:r>
              <w:t>（1）安全性高：变压吸附法整体上是一个较安全的捕集方法，因为它在常温常压下进行，避免了高温高压等危险环境；</w:t>
            </w:r>
          </w:p>
          <w:p w14:paraId="27A3D2E5">
            <w:pPr>
              <w:pStyle w:val="26"/>
            </w:pPr>
            <w:r>
              <w:t>（2）提纯效果佳：该方法能有效去除气体中的二氧化碳，实现高纯度的提纯；</w:t>
            </w:r>
          </w:p>
          <w:p w14:paraId="52DE599B">
            <w:pPr>
              <w:pStyle w:val="26"/>
            </w:pPr>
            <w:r>
              <w:t>（3）应用范围广：变压吸附法适用于多种气体捕集，不仅限于二氧化碳。</w:t>
            </w:r>
          </w:p>
        </w:tc>
        <w:tc>
          <w:tcPr>
            <w:tcW w:w="1711" w:type="pct"/>
            <w:vAlign w:val="center"/>
          </w:tcPr>
          <w:p w14:paraId="372074EA">
            <w:pPr>
              <w:pStyle w:val="26"/>
            </w:pPr>
            <w:r>
              <w:t>（1）设备投资成本高：变压吸附设备较为复杂，初始投资成本较高；</w:t>
            </w:r>
          </w:p>
          <w:p w14:paraId="7331F42B">
            <w:pPr>
              <w:pStyle w:val="26"/>
            </w:pPr>
            <w:r>
              <w:t>（2）操作步骤繁琐：变压吸附过程中需要经历多个操作步骤，如预吸附、吸附、解附等，操作相对繁琐；</w:t>
            </w:r>
          </w:p>
          <w:p w14:paraId="5E711A8B">
            <w:pPr>
              <w:pStyle w:val="26"/>
            </w:pPr>
            <w:r>
              <w:t>（3）产能有限：受吸附剂量的限制，变压吸附法在达到一定的吸附容量后，需要逆过程进行再生，这可能会影响捕集的连续性。</w:t>
            </w:r>
          </w:p>
        </w:tc>
      </w:tr>
      <w:tr w14:paraId="60BAC8B7">
        <w:tblPrEx>
          <w:tblBorders>
            <w:top w:val="single" w:color="auto" w:sz="12" w:space="0"/>
            <w:left w:val="none" w:color="auto" w:sz="0" w:space="0"/>
            <w:bottom w:val="single" w:color="auto" w:sz="12" w:space="0"/>
            <w:right w:val="none" w:color="auto" w:sz="0" w:space="0"/>
            <w:insideH w:val="single" w:color="auto" w:sz="8" w:space="0"/>
            <w:insideV w:val="none" w:color="auto" w:sz="0" w:space="0"/>
          </w:tblBorders>
          <w:tblCellMar>
            <w:top w:w="0" w:type="dxa"/>
            <w:left w:w="108" w:type="dxa"/>
            <w:bottom w:w="0" w:type="dxa"/>
            <w:right w:w="108" w:type="dxa"/>
          </w:tblCellMar>
        </w:tblPrEx>
        <w:trPr>
          <w:jc w:val="center"/>
        </w:trPr>
        <w:tc>
          <w:tcPr>
            <w:tcW w:w="856" w:type="pct"/>
            <w:vAlign w:val="center"/>
          </w:tcPr>
          <w:p w14:paraId="04824566">
            <w:pPr>
              <w:pStyle w:val="26"/>
            </w:pPr>
            <w:r>
              <w:t>膜分离法</w:t>
            </w:r>
          </w:p>
        </w:tc>
        <w:tc>
          <w:tcPr>
            <w:tcW w:w="2433" w:type="pct"/>
            <w:vAlign w:val="center"/>
          </w:tcPr>
          <w:p w14:paraId="14AD1148">
            <w:pPr>
              <w:pStyle w:val="26"/>
            </w:pPr>
            <w:r>
              <w:t>可模块化设计，设备简单，占地面积小，安装维护方便，操作弹性大；</w:t>
            </w:r>
          </w:p>
          <w:p w14:paraId="4E7CA59C">
            <w:pPr>
              <w:pStyle w:val="26"/>
            </w:pPr>
            <w:r>
              <w:t>放大效应不明显；</w:t>
            </w:r>
          </w:p>
          <w:p w14:paraId="1EEA4331">
            <w:pPr>
              <w:pStyle w:val="26"/>
            </w:pPr>
            <w:r>
              <w:t>不涉及化学过程，环境友好；</w:t>
            </w:r>
          </w:p>
          <w:p w14:paraId="1C206966">
            <w:pPr>
              <w:pStyle w:val="26"/>
            </w:pPr>
            <w:r>
              <w:t>自动化控制程度高，过程安全可靠。</w:t>
            </w:r>
          </w:p>
        </w:tc>
        <w:tc>
          <w:tcPr>
            <w:tcW w:w="1711" w:type="pct"/>
            <w:vAlign w:val="center"/>
          </w:tcPr>
          <w:p w14:paraId="2278232E">
            <w:pPr>
              <w:pStyle w:val="26"/>
            </w:pPr>
            <w:r>
              <w:t>捕集效率低；</w:t>
            </w:r>
          </w:p>
          <w:p w14:paraId="75EA6D3B">
            <w:pPr>
              <w:pStyle w:val="26"/>
            </w:pPr>
            <w:r>
              <w:t>大多数膜组件怕水，怕高温；易堵塞，易被污染，寿命短；</w:t>
            </w:r>
          </w:p>
          <w:p w14:paraId="3D6D6240">
            <w:pPr>
              <w:pStyle w:val="26"/>
            </w:pPr>
            <w:r>
              <w:t>国内制膜工艺及管件部件精度不够；</w:t>
            </w:r>
          </w:p>
          <w:p w14:paraId="285F07CB">
            <w:pPr>
              <w:pStyle w:val="26"/>
            </w:pPr>
            <w:r>
              <w:t>需要增压耗电，成本较高；小规模示范阶段。</w:t>
            </w:r>
          </w:p>
        </w:tc>
      </w:tr>
      <w:tr w14:paraId="01D8ABE2">
        <w:tblPrEx>
          <w:tblBorders>
            <w:top w:val="single" w:color="auto" w:sz="12" w:space="0"/>
            <w:left w:val="none" w:color="auto" w:sz="0" w:space="0"/>
            <w:bottom w:val="single" w:color="auto" w:sz="12" w:space="0"/>
            <w:right w:val="none" w:color="auto" w:sz="0" w:space="0"/>
            <w:insideH w:val="single" w:color="auto" w:sz="8" w:space="0"/>
            <w:insideV w:val="none" w:color="auto" w:sz="0" w:space="0"/>
          </w:tblBorders>
          <w:tblCellMar>
            <w:top w:w="0" w:type="dxa"/>
            <w:left w:w="108" w:type="dxa"/>
            <w:bottom w:w="0" w:type="dxa"/>
            <w:right w:w="108" w:type="dxa"/>
          </w:tblCellMar>
        </w:tblPrEx>
        <w:trPr>
          <w:jc w:val="center"/>
        </w:trPr>
        <w:tc>
          <w:tcPr>
            <w:tcW w:w="856" w:type="pct"/>
            <w:vAlign w:val="center"/>
          </w:tcPr>
          <w:p w14:paraId="78B309BD">
            <w:pPr>
              <w:pStyle w:val="26"/>
            </w:pPr>
            <w:r>
              <w:t>低温精馏法</w:t>
            </w:r>
          </w:p>
        </w:tc>
        <w:tc>
          <w:tcPr>
            <w:tcW w:w="2433" w:type="pct"/>
            <w:vAlign w:val="center"/>
          </w:tcPr>
          <w:p w14:paraId="0789A222">
            <w:pPr>
              <w:pStyle w:val="26"/>
            </w:pPr>
            <w:r>
              <w:t>适合高浓度二氧化碳场景；</w:t>
            </w:r>
          </w:p>
          <w:p w14:paraId="461D993D">
            <w:pPr>
              <w:pStyle w:val="26"/>
            </w:pPr>
            <w:r>
              <w:t>回收率在85-90%之间；</w:t>
            </w:r>
          </w:p>
          <w:p w14:paraId="788C9D69">
            <w:pPr>
              <w:pStyle w:val="26"/>
            </w:pPr>
            <w:r>
              <w:t>生产的液态二氧化碳浓度高并且稳定，可以达到食品级标准；</w:t>
            </w:r>
          </w:p>
          <w:p w14:paraId="457FC6B2">
            <w:pPr>
              <w:pStyle w:val="26"/>
            </w:pPr>
            <w:r>
              <w:t>结合了低温和精馏的优点。</w:t>
            </w:r>
          </w:p>
        </w:tc>
        <w:tc>
          <w:tcPr>
            <w:tcW w:w="1711" w:type="pct"/>
            <w:vAlign w:val="center"/>
          </w:tcPr>
          <w:p w14:paraId="51F676C0">
            <w:pPr>
              <w:pStyle w:val="26"/>
            </w:pPr>
            <w:r>
              <w:t>只适合于高浓度进气；</w:t>
            </w:r>
          </w:p>
          <w:p w14:paraId="773686A7">
            <w:pPr>
              <w:pStyle w:val="26"/>
            </w:pPr>
            <w:r>
              <w:t>如果气源二氧化碳浓度为20-50%，能耗及成本昂贵。</w:t>
            </w:r>
          </w:p>
        </w:tc>
      </w:tr>
    </w:tbl>
    <w:p w14:paraId="39784BA9">
      <w:pPr>
        <w:pStyle w:val="3"/>
        <w:spacing w:before="156" w:after="156"/>
      </w:pPr>
      <w:r>
        <w:rPr>
          <w:rFonts w:hint="eastAsia"/>
        </w:rPr>
        <w:t>评价方法</w:t>
      </w:r>
    </w:p>
    <w:p w14:paraId="79C94CAF">
      <w:pPr>
        <w:pStyle w:val="4"/>
        <w:spacing w:before="156" w:after="156"/>
      </w:pPr>
      <w:r>
        <w:t>CO</w:t>
      </w:r>
      <w:r>
        <w:rPr>
          <w:vertAlign w:val="subscript"/>
        </w:rPr>
        <w:t>2</w:t>
      </w:r>
      <w:r>
        <w:t>捕集</w:t>
      </w:r>
      <w:r>
        <w:rPr>
          <w:rFonts w:hint="eastAsia"/>
        </w:rPr>
        <w:t>率</w:t>
      </w:r>
    </w:p>
    <w:p w14:paraId="5111BD37">
      <w:pPr>
        <w:pStyle w:val="23"/>
        <w:ind w:firstLine="480"/>
      </w:pPr>
      <w:r>
        <w:t>CO</w:t>
      </w:r>
      <w:r>
        <w:rPr>
          <w:vertAlign w:val="subscript"/>
        </w:rPr>
        <w:t>2</w:t>
      </w:r>
      <w:r>
        <w:t>捕集率</w:t>
      </w:r>
      <w:r>
        <w:rPr>
          <w:rFonts w:hint="eastAsia"/>
        </w:rPr>
        <w:t>按（1）式计算：</w:t>
      </w:r>
    </w:p>
    <w:p w14:paraId="14BBC9EB">
      <w:pPr>
        <w:pStyle w:val="23"/>
        <w:ind w:firstLine="0" w:firstLineChars="0"/>
        <w:jc w:val="center"/>
        <w:rPr>
          <w:rFonts w:hAnsi="Cambria Math"/>
        </w:rPr>
      </w:pPr>
      <w:r>
        <w:rPr>
          <w:rFonts w:hAnsi="Cambria Math"/>
          <w:position w:val="-32"/>
        </w:rPr>
        <w:object>
          <v:shape id="_x0000_i1030" o:spt="75" type="#_x0000_t75" style="height:36.75pt;width:95.25pt;" o:ole="t" filled="f" o:preferrelative="t" stroked="f" coordsize="21600,21600">
            <v:path/>
            <v:fill on="f" focussize="0,0"/>
            <v:stroke on="f" joinstyle="miter"/>
            <v:imagedata r:id="rId20" o:title=""/>
            <o:lock v:ext="edit" aspectratio="t"/>
            <w10:wrap type="none"/>
            <w10:anchorlock/>
          </v:shape>
          <o:OLEObject Type="Embed" ProgID="Equation.DSMT4" ShapeID="_x0000_i1030" DrawAspect="Content" ObjectID="_1468075730" r:id="rId19">
            <o:LockedField>false</o:LockedField>
          </o:OLEObject>
        </w:object>
      </w:r>
    </w:p>
    <w:p w14:paraId="3094D906">
      <w:pPr>
        <w:pStyle w:val="23"/>
        <w:ind w:firstLine="0" w:firstLineChars="0"/>
        <w:jc w:val="right"/>
        <w:rPr>
          <w:rFonts w:hAnsi="Cambria Math"/>
        </w:rPr>
      </w:pPr>
      <w:r>
        <w:rPr>
          <w:rFonts w:hint="eastAsia" w:hAnsi="Cambria Math"/>
        </w:rPr>
        <w:t>式（1）</w:t>
      </w:r>
    </w:p>
    <w:p w14:paraId="59568030">
      <w:pPr>
        <w:pStyle w:val="23"/>
        <w:ind w:firstLine="480"/>
        <w:rPr>
          <w:rFonts w:hAnsi="Cambria Math"/>
        </w:rPr>
      </w:pPr>
      <w:r>
        <w:rPr>
          <w:rFonts w:hint="eastAsia" w:hAnsi="Cambria Math"/>
        </w:rPr>
        <w:t>式中：</w:t>
      </w:r>
    </w:p>
    <w:p w14:paraId="66809670">
      <w:pPr>
        <w:pStyle w:val="23"/>
        <w:ind w:firstLine="480"/>
      </w:pPr>
      <w:r>
        <w:rPr>
          <w:rFonts w:hAnsi="Cambria Math"/>
        </w:rPr>
        <w:t>P</w:t>
      </w:r>
      <w:r>
        <w:rPr>
          <w:rFonts w:hAnsi="Cambria Math"/>
          <w:vertAlign w:val="subscript"/>
        </w:rPr>
        <w:t>CO2</w:t>
      </w:r>
      <w:r>
        <w:rPr>
          <w:rFonts w:hint="eastAsia" w:hAnsi="Cambria Math"/>
        </w:rPr>
        <w:t>—报告期内</w:t>
      </w:r>
      <w:r>
        <w:t>CO</w:t>
      </w:r>
      <w:r>
        <w:rPr>
          <w:vertAlign w:val="subscript"/>
        </w:rPr>
        <w:t>2</w:t>
      </w:r>
      <w:r>
        <w:t>捕集率</w:t>
      </w:r>
      <w:r>
        <w:rPr>
          <w:rFonts w:hint="eastAsia"/>
        </w:rPr>
        <w:t>，单位为所占百分比（%）；</w:t>
      </w:r>
    </w:p>
    <w:p w14:paraId="6E184131">
      <w:pPr>
        <w:pStyle w:val="23"/>
        <w:ind w:firstLine="480"/>
      </w:pPr>
      <w:r>
        <w:rPr>
          <w:rFonts w:hint="eastAsia"/>
        </w:rPr>
        <w:t>C</w:t>
      </w:r>
      <w:r>
        <w:rPr>
          <w:rFonts w:hint="eastAsia"/>
          <w:vertAlign w:val="subscript"/>
        </w:rPr>
        <w:t>（ex）</w:t>
      </w:r>
      <w:r>
        <w:rPr>
          <w:rFonts w:hint="eastAsia" w:hAnsi="Cambria Math"/>
        </w:rPr>
        <w:t>—报告期内</w:t>
      </w:r>
      <w:r>
        <w:t>吸收塔尾气CO</w:t>
      </w:r>
      <w:r>
        <w:rPr>
          <w:vertAlign w:val="subscript"/>
        </w:rPr>
        <w:t>2</w:t>
      </w:r>
      <w:r>
        <w:t>浓度</w:t>
      </w:r>
      <w:r>
        <w:rPr>
          <w:rFonts w:hint="eastAsia"/>
        </w:rPr>
        <w:t>，单位为摩尔每升（mol/L）；</w:t>
      </w:r>
    </w:p>
    <w:p w14:paraId="3389F454">
      <w:pPr>
        <w:pStyle w:val="23"/>
        <w:ind w:firstLine="480"/>
      </w:pPr>
      <w:r>
        <w:rPr>
          <w:rFonts w:hint="eastAsia"/>
        </w:rPr>
        <w:t>C</w:t>
      </w:r>
      <w:r>
        <w:rPr>
          <w:rFonts w:hint="eastAsia"/>
          <w:vertAlign w:val="subscript"/>
        </w:rPr>
        <w:t>（in）</w:t>
      </w:r>
      <w:r>
        <w:rPr>
          <w:rFonts w:hint="eastAsia" w:hAnsi="Cambria Math"/>
        </w:rPr>
        <w:t>—报告期内吸</w:t>
      </w:r>
      <w:r>
        <w:t>收塔进气CO</w:t>
      </w:r>
      <w:r>
        <w:rPr>
          <w:vertAlign w:val="subscript"/>
        </w:rPr>
        <w:t>2</w:t>
      </w:r>
      <w:r>
        <w:t>浓度</w:t>
      </w:r>
      <w:r>
        <w:rPr>
          <w:rFonts w:hint="eastAsia"/>
        </w:rPr>
        <w:t>，单位为摩尔每升（mol/L）；</w:t>
      </w:r>
    </w:p>
    <w:p w14:paraId="4E6F1A59">
      <w:pPr>
        <w:pStyle w:val="23"/>
        <w:ind w:firstLine="480"/>
      </w:pPr>
      <w:r>
        <w:t>V</w:t>
      </w:r>
      <w:r>
        <w:rPr>
          <w:rFonts w:hint="eastAsia"/>
          <w:vertAlign w:val="subscript"/>
        </w:rPr>
        <w:t>（ex）</w:t>
      </w:r>
      <w:r>
        <w:rPr>
          <w:rFonts w:hint="eastAsia" w:hAnsi="Cambria Math"/>
        </w:rPr>
        <w:t>—报告期内</w:t>
      </w:r>
      <w:r>
        <w:t>吸收塔尾气</w:t>
      </w:r>
      <w:r>
        <w:rPr>
          <w:rFonts w:hint="eastAsia"/>
        </w:rPr>
        <w:t>体积，单位为升（L）；</w:t>
      </w:r>
    </w:p>
    <w:p w14:paraId="1752AE63">
      <w:pPr>
        <w:pStyle w:val="23"/>
        <w:ind w:firstLine="480"/>
        <w:rPr>
          <w:rFonts w:hint="eastAsia"/>
        </w:rPr>
      </w:pPr>
      <w:r>
        <w:t>V</w:t>
      </w:r>
      <w:r>
        <w:rPr>
          <w:rFonts w:hint="eastAsia"/>
          <w:vertAlign w:val="subscript"/>
        </w:rPr>
        <w:t>（in）</w:t>
      </w:r>
      <w:r>
        <w:rPr>
          <w:rFonts w:hint="eastAsia" w:hAnsi="Cambria Math"/>
        </w:rPr>
        <w:t>—报告期内吸</w:t>
      </w:r>
      <w:r>
        <w:t>收塔进气</w:t>
      </w:r>
      <w:r>
        <w:rPr>
          <w:rFonts w:hint="eastAsia"/>
        </w:rPr>
        <w:t>体积，单位为升（L）。</w:t>
      </w:r>
    </w:p>
    <w:p w14:paraId="3A8FD806">
      <w:pPr>
        <w:pStyle w:val="4"/>
        <w:spacing w:before="156" w:after="156"/>
      </w:pPr>
      <w:r>
        <w:rPr>
          <w:rFonts w:hint="eastAsia"/>
        </w:rPr>
        <w:t>再生能耗</w:t>
      </w:r>
    </w:p>
    <w:p w14:paraId="1E1DDCB8">
      <w:pPr>
        <w:pStyle w:val="23"/>
        <w:ind w:firstLine="480"/>
      </w:pPr>
      <w:r>
        <w:rPr>
          <w:rFonts w:hint="eastAsia"/>
        </w:rPr>
        <w:t>吸收法或吸附法C</w:t>
      </w:r>
      <w:r>
        <w:t>O</w:t>
      </w:r>
      <w:r>
        <w:rPr>
          <w:vertAlign w:val="subscript"/>
        </w:rPr>
        <w:t>2</w:t>
      </w:r>
      <w:r>
        <w:rPr>
          <w:rFonts w:hint="eastAsia"/>
        </w:rPr>
        <w:t>捕集</w:t>
      </w:r>
      <w:r>
        <w:t>能耗</w:t>
      </w:r>
      <w:r>
        <w:rPr>
          <w:rFonts w:hint="eastAsia"/>
        </w:rPr>
        <w:t>按（2）（3）式计算：</w:t>
      </w:r>
    </w:p>
    <w:p w14:paraId="67EA70DF">
      <w:pPr>
        <w:pStyle w:val="23"/>
        <w:ind w:firstLine="0" w:firstLineChars="0"/>
        <w:jc w:val="center"/>
        <w:rPr>
          <w:rFonts w:hAnsi="Cambria Math"/>
        </w:rPr>
      </w:pPr>
      <w:r>
        <w:rPr>
          <w:rFonts w:hAnsi="Cambria Math"/>
          <w:position w:val="-30"/>
        </w:rPr>
        <w:object>
          <v:shape id="_x0000_i1031" o:spt="75" type="#_x0000_t75" style="height:34.5pt;width:91.5pt;" o:ole="t" filled="f" o:preferrelative="t" stroked="f" coordsize="21600,21600">
            <v:path/>
            <v:fill on="f" focussize="0,0"/>
            <v:stroke on="f" joinstyle="miter"/>
            <v:imagedata r:id="rId22" o:title=""/>
            <o:lock v:ext="edit" aspectratio="t"/>
            <w10:wrap type="none"/>
            <w10:anchorlock/>
          </v:shape>
          <o:OLEObject Type="Embed" ProgID="Equation.DSMT4" ShapeID="_x0000_i1031" DrawAspect="Content" ObjectID="_1468075731" r:id="rId21">
            <o:LockedField>false</o:LockedField>
          </o:OLEObject>
        </w:object>
      </w:r>
    </w:p>
    <w:p w14:paraId="7AA93B4F">
      <w:pPr>
        <w:pStyle w:val="23"/>
        <w:ind w:firstLine="0" w:firstLineChars="0"/>
        <w:jc w:val="right"/>
        <w:rPr>
          <w:rFonts w:hAnsi="Cambria Math"/>
        </w:rPr>
      </w:pPr>
      <w:r>
        <w:rPr>
          <w:rFonts w:hint="eastAsia" w:hAnsi="Cambria Math"/>
        </w:rPr>
        <w:t>式（2）</w:t>
      </w:r>
    </w:p>
    <w:p w14:paraId="2FF9FE62">
      <w:pPr>
        <w:pStyle w:val="23"/>
        <w:ind w:firstLine="0" w:firstLineChars="0"/>
        <w:jc w:val="center"/>
        <w:rPr>
          <w:rFonts w:hAnsi="Cambria Math"/>
        </w:rPr>
      </w:pPr>
      <w:r>
        <w:rPr>
          <w:rFonts w:hAnsi="Cambria Math"/>
          <w:position w:val="-30"/>
        </w:rPr>
        <w:object>
          <v:shape id="_x0000_i1032" o:spt="75" type="#_x0000_t75" style="height:34.5pt;width:70.5pt;" o:ole="t" filled="f" o:preferrelative="t" stroked="f" coordsize="21600,21600">
            <v:path/>
            <v:fill on="f" focussize="0,0"/>
            <v:stroke on="f" joinstyle="miter"/>
            <v:imagedata r:id="rId24" o:title=""/>
            <o:lock v:ext="edit" aspectratio="t"/>
            <w10:wrap type="none"/>
            <w10:anchorlock/>
          </v:shape>
          <o:OLEObject Type="Embed" ProgID="Equation.DSMT4" ShapeID="_x0000_i1032" DrawAspect="Content" ObjectID="_1468075732" r:id="rId23">
            <o:LockedField>false</o:LockedField>
          </o:OLEObject>
        </w:object>
      </w:r>
    </w:p>
    <w:p w14:paraId="495535F1">
      <w:pPr>
        <w:pStyle w:val="23"/>
        <w:ind w:firstLine="0" w:firstLineChars="0"/>
        <w:jc w:val="right"/>
        <w:rPr>
          <w:rFonts w:hAnsi="Cambria Math"/>
        </w:rPr>
      </w:pPr>
      <w:r>
        <w:rPr>
          <w:rFonts w:hint="eastAsia" w:hAnsi="Cambria Math"/>
        </w:rPr>
        <w:t>式（3）</w:t>
      </w:r>
    </w:p>
    <w:p w14:paraId="65033C49">
      <w:pPr>
        <w:pStyle w:val="23"/>
        <w:ind w:firstLine="480"/>
      </w:pPr>
      <w:r>
        <w:t>式中：</w:t>
      </w:r>
    </w:p>
    <w:p w14:paraId="482C9F46">
      <w:pPr>
        <w:pStyle w:val="23"/>
        <w:ind w:firstLine="480"/>
      </w:pPr>
      <w:r>
        <w:rPr>
          <w:rFonts w:hint="eastAsia"/>
        </w:rPr>
        <w:t>E</w:t>
      </w:r>
      <w:r>
        <w:rPr>
          <w:vertAlign w:val="subscript"/>
        </w:rPr>
        <w:t>Z</w:t>
      </w:r>
      <w:r>
        <w:t>─</w:t>
      </w:r>
      <w:r>
        <w:rPr>
          <w:rFonts w:hint="eastAsia"/>
        </w:rPr>
        <w:t>每吨CO</w:t>
      </w:r>
      <w:r>
        <w:rPr>
          <w:rFonts w:hint="eastAsia"/>
          <w:vertAlign w:val="subscript"/>
        </w:rPr>
        <w:t>2</w:t>
      </w:r>
      <w:r>
        <w:rPr>
          <w:rFonts w:hint="eastAsia"/>
        </w:rPr>
        <w:t>捕集能耗，单位为吉焦每吨(GJ/t)；</w:t>
      </w:r>
    </w:p>
    <w:p w14:paraId="72E729B3">
      <w:pPr>
        <w:pStyle w:val="23"/>
        <w:ind w:firstLine="480"/>
      </w:pPr>
      <w:r>
        <w:rPr>
          <w:rFonts w:hint="eastAsia"/>
        </w:rPr>
        <w:t>E</w:t>
      </w:r>
      <w:r>
        <w:rPr>
          <w:vertAlign w:val="subscript"/>
        </w:rPr>
        <w:t>r</w:t>
      </w:r>
      <w:r>
        <w:t>─</w:t>
      </w:r>
      <w:r>
        <w:rPr>
          <w:rFonts w:hint="eastAsia"/>
        </w:rPr>
        <w:t>每吨CO</w:t>
      </w:r>
      <w:r>
        <w:rPr>
          <w:vertAlign w:val="subscript"/>
        </w:rPr>
        <w:t>2</w:t>
      </w:r>
      <w:r>
        <w:rPr>
          <w:rFonts w:hint="eastAsia"/>
        </w:rPr>
        <w:t>再生能耗，单位为吉焦每吨(GJt)；</w:t>
      </w:r>
    </w:p>
    <w:p w14:paraId="2937C019">
      <w:pPr>
        <w:pStyle w:val="23"/>
        <w:ind w:firstLine="480"/>
      </w:pPr>
      <w:r>
        <w:rPr>
          <w:rFonts w:hint="eastAsia"/>
        </w:rPr>
        <w:t>E</w:t>
      </w:r>
      <w:r>
        <w:rPr>
          <w:vertAlign w:val="subscript"/>
        </w:rPr>
        <w:t>e</w:t>
      </w:r>
      <w:r>
        <w:t>─</w:t>
      </w:r>
      <w:r>
        <w:rPr>
          <w:rFonts w:hint="eastAsia"/>
        </w:rPr>
        <w:t>每小时捕集装置运行所需要的电能，单位为吉焦每小时(GJ</w:t>
      </w:r>
      <w:r>
        <w:t>/</w:t>
      </w:r>
      <w:r>
        <w:rPr>
          <w:rFonts w:hint="eastAsia"/>
        </w:rPr>
        <w:t>h)，用电设备分别计算并加和得到的电功率，采用GB/T50441进行能耗折算:</w:t>
      </w:r>
    </w:p>
    <w:p w14:paraId="5AD15386">
      <w:pPr>
        <w:pStyle w:val="23"/>
        <w:ind w:firstLine="480"/>
      </w:pPr>
      <w:r>
        <w:rPr>
          <w:rFonts w:hint="eastAsia"/>
        </w:rPr>
        <w:t>E</w:t>
      </w:r>
      <w:r>
        <w:rPr>
          <w:vertAlign w:val="subscript"/>
        </w:rPr>
        <w:t>w</w:t>
      </w:r>
      <w:r>
        <w:t>─</w:t>
      </w:r>
      <w:r>
        <w:rPr>
          <w:rFonts w:hint="eastAsia"/>
        </w:rPr>
        <w:t>每小时捕集装置运行所需要的水耗，单位为吉焦每小时(GJ</w:t>
      </w:r>
      <w:r>
        <w:t>/</w:t>
      </w:r>
      <w:r>
        <w:rPr>
          <w:rFonts w:hint="eastAsia"/>
        </w:rPr>
        <w:t>h)，需根据循环水量采用GB/T50441进行能耗折算；</w:t>
      </w:r>
    </w:p>
    <w:p w14:paraId="2B7E30B8">
      <w:pPr>
        <w:pStyle w:val="23"/>
        <w:ind w:firstLine="480"/>
      </w:pPr>
      <w:r>
        <w:rPr>
          <w:rFonts w:hint="eastAsia"/>
        </w:rPr>
        <w:t>Q</w:t>
      </w:r>
      <w:r>
        <w:rPr>
          <w:rFonts w:hint="eastAsia"/>
          <w:vertAlign w:val="subscript"/>
        </w:rPr>
        <w:t>m</w:t>
      </w:r>
      <w:r>
        <w:t>─</w:t>
      </w:r>
      <w:r>
        <w:rPr>
          <w:rFonts w:hint="eastAsia"/>
        </w:rPr>
        <w:t>每小时的蒸汽或电的热值，单位为吉焦每小时(GJ/h)；</w:t>
      </w:r>
    </w:p>
    <w:p w14:paraId="231FD20C">
      <w:pPr>
        <w:pStyle w:val="23"/>
        <w:ind w:firstLine="480"/>
      </w:pPr>
      <w:r>
        <w:rPr>
          <w:rFonts w:hint="eastAsia"/>
        </w:rPr>
        <w:t>H</w:t>
      </w:r>
      <w:r>
        <w:rPr>
          <w:vertAlign w:val="subscript"/>
        </w:rPr>
        <w:t>ν</w:t>
      </w:r>
      <w:r>
        <w:t>─</w:t>
      </w:r>
      <w:r>
        <w:rPr>
          <w:rFonts w:hint="eastAsia"/>
        </w:rPr>
        <w:t>蒸汽在实际工况下的潜热值(由蒸汽焓值减去凝结水焓值得到，一定温度、压力下的焓值可查询化工数据手册)，单位为吉焦每吨(GJt)；</w:t>
      </w:r>
    </w:p>
    <w:p w14:paraId="16C9C99D">
      <w:pPr>
        <w:pStyle w:val="23"/>
        <w:ind w:firstLine="480"/>
      </w:pPr>
      <w:r>
        <w:t>m</w:t>
      </w:r>
      <w:r>
        <w:rPr>
          <w:vertAlign w:val="subscript"/>
        </w:rPr>
        <w:t>co2</w:t>
      </w:r>
      <w:r>
        <w:t>─</w:t>
      </w:r>
      <w:r>
        <w:rPr>
          <w:rFonts w:hint="eastAsia"/>
        </w:rPr>
        <w:t>每小时</w:t>
      </w:r>
      <w:r>
        <w:t>CO₂</w:t>
      </w:r>
      <w:r>
        <w:rPr>
          <w:rFonts w:hint="eastAsia"/>
        </w:rPr>
        <w:t>产量，单位为吨每小时</w:t>
      </w:r>
      <w:r>
        <w:t>(t/h)</w:t>
      </w:r>
      <w:r>
        <w:rPr>
          <w:rFonts w:hint="eastAsia"/>
        </w:rPr>
        <w:t>。</w:t>
      </w:r>
    </w:p>
    <w:p w14:paraId="24CBCABA">
      <w:pPr>
        <w:pStyle w:val="23"/>
        <w:ind w:firstLine="480"/>
        <w:rPr>
          <w:rFonts w:hint="eastAsia"/>
        </w:rPr>
      </w:pPr>
      <w:r>
        <w:rPr>
          <w:rFonts w:hint="eastAsia"/>
        </w:rPr>
        <w:t>能耗应按一次能源消耗计算，能耗单位宜采千克(kg)标准油，1千克标准油的低发热量为41.868M</w:t>
      </w:r>
      <w:r>
        <w:t>J</w:t>
      </w:r>
      <w:r>
        <w:rPr>
          <w:rFonts w:hint="eastAsia"/>
        </w:rPr>
        <w:t>。</w:t>
      </w:r>
    </w:p>
    <w:p w14:paraId="3B5F4129">
      <w:pPr>
        <w:pStyle w:val="4"/>
        <w:spacing w:before="156" w:after="156"/>
      </w:pPr>
      <w:r>
        <w:rPr>
          <w:rFonts w:hint="eastAsia"/>
        </w:rPr>
        <w:t>每吨</w:t>
      </w:r>
      <w:r>
        <w:t>CO</w:t>
      </w:r>
      <w:r>
        <w:rPr>
          <w:vertAlign w:val="subscript"/>
        </w:rPr>
        <w:t>2</w:t>
      </w:r>
      <w:r>
        <w:t>捕集运行成本</w:t>
      </w:r>
    </w:p>
    <w:p w14:paraId="7D586305">
      <w:pPr>
        <w:pStyle w:val="23"/>
        <w:ind w:firstLine="480"/>
      </w:pPr>
      <w:r>
        <w:t>每吨CO</w:t>
      </w:r>
      <w:r>
        <w:rPr>
          <w:vertAlign w:val="subscript"/>
        </w:rPr>
        <w:t>2</w:t>
      </w:r>
      <w:r>
        <w:t>捕集运行成本</w:t>
      </w:r>
      <w:r>
        <w:rPr>
          <w:rFonts w:hint="eastAsia"/>
        </w:rPr>
        <w:t>按（3）式计算：</w:t>
      </w:r>
    </w:p>
    <w:p w14:paraId="12E97D17">
      <w:pPr>
        <w:pStyle w:val="23"/>
        <w:ind w:firstLine="0" w:firstLineChars="0"/>
        <w:jc w:val="center"/>
        <w:rPr>
          <w:rFonts w:hAnsi="Cambria Math"/>
        </w:rPr>
      </w:pPr>
      <w:r>
        <w:rPr>
          <w:rFonts w:hAnsi="Cambria Math"/>
          <w:position w:val="-30"/>
        </w:rPr>
        <w:object>
          <v:shape id="_x0000_i1033" o:spt="75" type="#_x0000_t75" style="height:33.8pt;width:112.7pt;" o:ole="t" filled="f" o:preferrelative="t" stroked="f" coordsize="21600,21600">
            <v:path/>
            <v:fill on="f" focussize="0,0"/>
            <v:stroke on="f" joinstyle="miter"/>
            <v:imagedata r:id="rId26" o:title=""/>
            <o:lock v:ext="edit" aspectratio="t"/>
            <w10:wrap type="none"/>
            <w10:anchorlock/>
          </v:shape>
          <o:OLEObject Type="Embed" ProgID="Equation.DSMT4" ShapeID="_x0000_i1033" DrawAspect="Content" ObjectID="_1468075733" r:id="rId25">
            <o:LockedField>false</o:LockedField>
          </o:OLEObject>
        </w:object>
      </w:r>
    </w:p>
    <w:p w14:paraId="42DBB7EB">
      <w:pPr>
        <w:pStyle w:val="23"/>
        <w:ind w:firstLine="0" w:firstLineChars="0"/>
        <w:jc w:val="right"/>
        <w:rPr>
          <w:rFonts w:hAnsi="Cambria Math"/>
        </w:rPr>
      </w:pPr>
      <w:r>
        <w:rPr>
          <w:rFonts w:hint="eastAsia" w:hAnsi="Cambria Math"/>
        </w:rPr>
        <w:t>式（3）</w:t>
      </w:r>
    </w:p>
    <w:p w14:paraId="022B8B04">
      <w:pPr>
        <w:pStyle w:val="23"/>
        <w:ind w:firstLine="480"/>
      </w:pPr>
      <w:r>
        <w:t>式中：</w:t>
      </w:r>
    </w:p>
    <w:p w14:paraId="5B80C75B">
      <w:pPr>
        <w:pStyle w:val="23"/>
        <w:ind w:firstLine="480"/>
      </w:pPr>
      <w:r>
        <w:t>K—报告期内运行成本，单位为元每吨二氧化碳（元/吨CO</w:t>
      </w:r>
      <w:r>
        <w:rPr>
          <w:vertAlign w:val="subscript"/>
        </w:rPr>
        <w:t>2</w:t>
      </w:r>
      <w:r>
        <w:t>）；</w:t>
      </w:r>
    </w:p>
    <w:p w14:paraId="766CE305">
      <w:pPr>
        <w:pStyle w:val="23"/>
        <w:ind w:firstLine="480"/>
      </w:pPr>
      <w:r>
        <w:t>E</w:t>
      </w:r>
      <w:r>
        <w:rPr>
          <w:vertAlign w:val="subscript"/>
        </w:rPr>
        <w:t>e</w:t>
      </w:r>
      <w:r>
        <w:t>—报告期内电能耗折算的成本，单位为元；</w:t>
      </w:r>
    </w:p>
    <w:p w14:paraId="4A4E3C6A">
      <w:pPr>
        <w:pStyle w:val="23"/>
        <w:ind w:firstLine="480"/>
      </w:pPr>
      <w:r>
        <w:t>E</w:t>
      </w:r>
      <w:r>
        <w:rPr>
          <w:vertAlign w:val="subscript"/>
        </w:rPr>
        <w:t>w</w:t>
      </w:r>
      <w:r>
        <w:t>—报告期内水能耗，单位为元；</w:t>
      </w:r>
    </w:p>
    <w:p w14:paraId="36708341">
      <w:pPr>
        <w:pStyle w:val="23"/>
        <w:ind w:firstLine="480"/>
      </w:pPr>
      <w:r>
        <w:t>E</w:t>
      </w:r>
      <w:r>
        <w:rPr>
          <w:vertAlign w:val="subscript"/>
        </w:rPr>
        <w:t>T</w:t>
      </w:r>
      <w:r>
        <w:t>—报告期内材料消耗，单位为元</w:t>
      </w:r>
      <w:r>
        <w:rPr>
          <w:rFonts w:hint="eastAsia"/>
        </w:rPr>
        <w:t>；</w:t>
      </w:r>
    </w:p>
    <w:p w14:paraId="156818CD">
      <w:pPr>
        <w:pStyle w:val="23"/>
        <w:ind w:firstLine="480"/>
        <w:rPr>
          <w:rFonts w:hint="eastAsia"/>
        </w:rPr>
      </w:pPr>
      <w:r>
        <w:t>E</w:t>
      </w:r>
      <w:r>
        <w:rPr>
          <w:rFonts w:hint="eastAsia"/>
          <w:vertAlign w:val="subscript"/>
        </w:rPr>
        <w:t>s</w:t>
      </w:r>
      <w:r>
        <w:t>—</w:t>
      </w:r>
      <w:r>
        <w:rPr>
          <w:rFonts w:hint="eastAsia"/>
        </w:rPr>
        <w:t>报告期内蒸汽消耗，单位为元；</w:t>
      </w:r>
    </w:p>
    <w:p w14:paraId="3AA58F05">
      <w:pPr>
        <w:pStyle w:val="23"/>
        <w:ind w:firstLine="480"/>
        <w:rPr>
          <w:rFonts w:hint="eastAsia"/>
        </w:rPr>
      </w:pPr>
      <w:r>
        <w:rPr>
          <w:rFonts w:hint="eastAsia"/>
        </w:rPr>
        <w:t>T</w:t>
      </w:r>
      <w:r>
        <w:rPr>
          <w:rFonts w:hint="eastAsia"/>
          <w:vertAlign w:val="subscript"/>
        </w:rPr>
        <w:t>p</w:t>
      </w:r>
      <w:r>
        <w:rPr>
          <w:rFonts w:hint="eastAsia"/>
        </w:rPr>
        <w:t>—</w:t>
      </w:r>
      <w:r>
        <w:rPr>
          <w:rFonts w:hint="eastAsia" w:hAnsi="Cambria Math"/>
        </w:rPr>
        <w:t>报告期内</w:t>
      </w:r>
      <w:r>
        <w:t>CO</w:t>
      </w:r>
      <w:r>
        <w:rPr>
          <w:vertAlign w:val="subscript"/>
        </w:rPr>
        <w:t>2</w:t>
      </w:r>
      <w:r>
        <w:t>产出量</w:t>
      </w:r>
      <w:r>
        <w:rPr>
          <w:rFonts w:hint="eastAsia"/>
        </w:rPr>
        <w:t>，单位为</w:t>
      </w:r>
      <w:r>
        <w:t>吨二氧化碳当量</w:t>
      </w:r>
      <w:r>
        <w:rPr>
          <w:rFonts w:hint="eastAsia"/>
        </w:rPr>
        <w:t>（tCO</w:t>
      </w:r>
      <w:r>
        <w:rPr>
          <w:rFonts w:hint="eastAsia"/>
          <w:vertAlign w:val="subscript"/>
        </w:rPr>
        <w:t>2</w:t>
      </w:r>
      <w:r>
        <w:rPr>
          <w:rFonts w:hint="eastAsia"/>
        </w:rPr>
        <w:t>e）。</w:t>
      </w:r>
    </w:p>
    <w:p w14:paraId="17EE5F91">
      <w:pPr>
        <w:pStyle w:val="2"/>
        <w:spacing w:before="156" w:after="156"/>
      </w:pPr>
      <w:bookmarkStart w:id="28" w:name="_Toc184600184"/>
      <w:r>
        <w:t>与国际、国外同类标准水平的对比情况</w:t>
      </w:r>
      <w:bookmarkEnd w:id="28"/>
    </w:p>
    <w:p w14:paraId="2ED5029C">
      <w:pPr>
        <w:pStyle w:val="23"/>
        <w:ind w:firstLine="480"/>
        <w:rPr>
          <w:rFonts w:cs="Times New Roman"/>
        </w:rPr>
      </w:pPr>
      <w:r>
        <w:rPr>
          <w:rFonts w:cs="Times New Roman"/>
        </w:rPr>
        <w:t>国内外目前无相关标准。</w:t>
      </w:r>
    </w:p>
    <w:p w14:paraId="3CD1F8B5">
      <w:pPr>
        <w:pStyle w:val="2"/>
        <w:spacing w:before="156" w:after="156"/>
      </w:pPr>
      <w:bookmarkStart w:id="29" w:name="_Toc184600185"/>
      <w:r>
        <w:t>与现行法律、法规和强制性标准的关系</w:t>
      </w:r>
      <w:bookmarkEnd w:id="29"/>
    </w:p>
    <w:p w14:paraId="5E3F1005">
      <w:pPr>
        <w:pStyle w:val="23"/>
        <w:ind w:firstLine="480"/>
        <w:rPr>
          <w:rFonts w:cs="Times New Roman"/>
        </w:rPr>
      </w:pPr>
      <w:r>
        <w:rPr>
          <w:rFonts w:cs="Times New Roman"/>
        </w:rPr>
        <w:t>至标准编制之日尚未发现与计划编制标准相冲突的现行法律、法规和强制性国家标准。</w:t>
      </w:r>
    </w:p>
    <w:p w14:paraId="3456689C">
      <w:pPr>
        <w:pStyle w:val="2"/>
        <w:spacing w:before="156" w:after="156"/>
      </w:pPr>
      <w:bookmarkStart w:id="30" w:name="_Toc184600186"/>
      <w:r>
        <w:t>重大分歧意见的处理</w:t>
      </w:r>
      <w:bookmarkEnd w:id="30"/>
    </w:p>
    <w:p w14:paraId="71F7E583">
      <w:pPr>
        <w:pStyle w:val="23"/>
        <w:ind w:firstLine="480"/>
        <w:rPr>
          <w:rFonts w:cs="Times New Roman"/>
        </w:rPr>
      </w:pPr>
      <w:r>
        <w:rPr>
          <w:rFonts w:cs="Times New Roman"/>
        </w:rPr>
        <w:t>暂无。</w:t>
      </w:r>
    </w:p>
    <w:p w14:paraId="4E2CBF4F">
      <w:pPr>
        <w:pStyle w:val="2"/>
        <w:spacing w:before="156" w:after="156"/>
      </w:pPr>
      <w:bookmarkStart w:id="31" w:name="_Toc184600187"/>
      <w:r>
        <w:t>其他应予以说明的事项</w:t>
      </w:r>
      <w:bookmarkEnd w:id="31"/>
    </w:p>
    <w:p w14:paraId="1229F1E9">
      <w:pPr>
        <w:pStyle w:val="23"/>
        <w:ind w:firstLine="480"/>
        <w:rPr>
          <w:rFonts w:cs="Times New Roman"/>
        </w:rPr>
      </w:pPr>
      <w:r>
        <w:rPr>
          <w:rFonts w:cs="Times New Roman"/>
        </w:rPr>
        <w:t>暂无。</w:t>
      </w:r>
    </w:p>
    <w:sectPr>
      <w:footerReference r:id="rId6"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等线 Light">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 w:name="Cambria Math">
    <w:panose1 w:val="02040503050406030204"/>
    <w:charset w:val="00"/>
    <w:family w:val="roman"/>
    <w:pitch w:val="default"/>
    <w:sig w:usb0="E00002FF" w:usb1="420024FF" w:usb2="00000000" w:usb3="00000000" w:csb0="2000019F" w:csb1="0000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3674BC">
    <w:pPr>
      <w:pStyle w:val="11"/>
      <w:jc w:val="center"/>
    </w:pPr>
  </w:p>
  <w:p w14:paraId="4029178E">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D1B3FF">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12639518"/>
      <w:docPartObj>
        <w:docPartGallery w:val="AutoText"/>
      </w:docPartObj>
    </w:sdtPr>
    <w:sdtContent>
      <w:p w14:paraId="4B0677DC">
        <w:pPr>
          <w:pStyle w:val="11"/>
          <w:jc w:val="center"/>
          <w:rPr>
            <w:rFonts w:asciiTheme="minorHAnsi" w:hAnsiTheme="minorHAnsi"/>
          </w:rPr>
        </w:pPr>
        <w:r>
          <w:fldChar w:fldCharType="begin"/>
        </w:r>
        <w:r>
          <w:instrText xml:space="preserve">PAGE   \* MERGEFORMAT</w:instrText>
        </w:r>
        <w:r>
          <w:fldChar w:fldCharType="separate"/>
        </w:r>
        <w:r>
          <w:rPr>
            <w:lang w:val="zh-CN"/>
          </w:rPr>
          <w:t>2</w:t>
        </w:r>
        <w: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90229785"/>
      <w:docPartObj>
        <w:docPartGallery w:val="AutoText"/>
      </w:docPartObj>
    </w:sdtPr>
    <w:sdtContent>
      <w:p w14:paraId="6E2C4F3A">
        <w:pPr>
          <w:pStyle w:val="11"/>
          <w:jc w:val="center"/>
          <w:rPr>
            <w:rFonts w:asciiTheme="minorHAnsi" w:hAnsiTheme="minorHAnsi"/>
          </w:rPr>
        </w:pPr>
        <w:r>
          <w:fldChar w:fldCharType="begin"/>
        </w:r>
        <w:r>
          <w:instrText xml:space="preserve">PAGE   \* MERGEFORMAT</w:instrText>
        </w:r>
        <w:r>
          <w:fldChar w:fldCharType="separate"/>
        </w:r>
        <w:r>
          <w:rPr>
            <w:lang w:val="zh-CN"/>
          </w:rPr>
          <w:t>2</w:t>
        </w:r>
        <w: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CEC45CD"/>
    <w:multiLevelType w:val="multilevel"/>
    <w:tmpl w:val="4CEC45CD"/>
    <w:lvl w:ilvl="0" w:tentative="0">
      <w:start w:val="1"/>
      <w:numFmt w:val="decimal"/>
      <w:pStyle w:val="2"/>
      <w:lvlText w:val="%1"/>
      <w:lvlJc w:val="left"/>
      <w:pPr>
        <w:tabs>
          <w:tab w:val="left" w:pos="454"/>
        </w:tabs>
        <w:ind w:left="0" w:firstLine="0"/>
      </w:pPr>
      <w:rPr>
        <w:rFonts w:hint="eastAsia"/>
      </w:rPr>
    </w:lvl>
    <w:lvl w:ilvl="1" w:tentative="0">
      <w:start w:val="1"/>
      <w:numFmt w:val="decimal"/>
      <w:pStyle w:val="3"/>
      <w:lvlText w:val="%1.%2"/>
      <w:lvlJc w:val="left"/>
      <w:pPr>
        <w:tabs>
          <w:tab w:val="left" w:pos="0"/>
        </w:tabs>
        <w:ind w:left="0" w:firstLine="0"/>
      </w:pPr>
      <w:rPr>
        <w:rFonts w:hint="eastAsia"/>
      </w:rPr>
    </w:lvl>
    <w:lvl w:ilvl="2" w:tentative="0">
      <w:start w:val="1"/>
      <w:numFmt w:val="decimal"/>
      <w:pStyle w:val="4"/>
      <w:lvlText w:val="%1.%2.%3"/>
      <w:lvlJc w:val="left"/>
      <w:pPr>
        <w:tabs>
          <w:tab w:val="left" w:pos="720"/>
        </w:tabs>
        <w:ind w:left="720" w:hanging="720"/>
      </w:pPr>
      <w:rPr>
        <w:rFonts w:hint="default" w:ascii="Times New Roman" w:hAnsi="Times New Roman" w:cs="Times New Roman"/>
      </w:rPr>
    </w:lvl>
    <w:lvl w:ilvl="3" w:tentative="0">
      <w:start w:val="1"/>
      <w:numFmt w:val="decimal"/>
      <w:pStyle w:val="5"/>
      <w:lvlText w:val="%1.%2.%3.%4"/>
      <w:lvlJc w:val="left"/>
      <w:pPr>
        <w:tabs>
          <w:tab w:val="left" w:pos="864"/>
        </w:tabs>
        <w:ind w:left="864" w:hanging="864"/>
      </w:pPr>
      <w:rPr>
        <w:rFonts w:hint="default" w:ascii="Times New Roman" w:hAnsi="Times New Roman" w:cs="Times New Roman"/>
        <w:b w:val="0"/>
        <w:bCs w:val="0"/>
        <w:i w:val="0"/>
        <w:iCs w:val="0"/>
        <w:caps w:val="0"/>
        <w:smallCaps w:val="0"/>
        <w:strike w:val="0"/>
        <w:dstrike w:val="0"/>
        <w:vanish w:val="0"/>
        <w:color w:val="000000"/>
        <w:spacing w:val="0"/>
        <w:position w:val="0"/>
        <w:u w:val="none"/>
        <w:vertAlign w:val="baseline"/>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wNzk2YmQyNmJlMDFmNTEyNzAyZTM1ZjQ5NDk5MWIifQ=="/>
  </w:docVars>
  <w:rsids>
    <w:rsidRoot w:val="0083461B"/>
    <w:rsid w:val="000046DF"/>
    <w:rsid w:val="000050F6"/>
    <w:rsid w:val="0000668A"/>
    <w:rsid w:val="00014BF8"/>
    <w:rsid w:val="00026FDE"/>
    <w:rsid w:val="00036685"/>
    <w:rsid w:val="00055D0A"/>
    <w:rsid w:val="0007318E"/>
    <w:rsid w:val="00074338"/>
    <w:rsid w:val="00075865"/>
    <w:rsid w:val="0008096A"/>
    <w:rsid w:val="00082D51"/>
    <w:rsid w:val="000A11FD"/>
    <w:rsid w:val="000B3589"/>
    <w:rsid w:val="000D15E8"/>
    <w:rsid w:val="000D4B99"/>
    <w:rsid w:val="000F329C"/>
    <w:rsid w:val="000F5484"/>
    <w:rsid w:val="000F5DC7"/>
    <w:rsid w:val="000F63F2"/>
    <w:rsid w:val="00101211"/>
    <w:rsid w:val="00103906"/>
    <w:rsid w:val="0010686D"/>
    <w:rsid w:val="00113F0F"/>
    <w:rsid w:val="00115CF3"/>
    <w:rsid w:val="00123E15"/>
    <w:rsid w:val="0013638A"/>
    <w:rsid w:val="00141B94"/>
    <w:rsid w:val="00146EA5"/>
    <w:rsid w:val="001518FA"/>
    <w:rsid w:val="00157CCE"/>
    <w:rsid w:val="00161793"/>
    <w:rsid w:val="00166BE6"/>
    <w:rsid w:val="00167DB0"/>
    <w:rsid w:val="001708AF"/>
    <w:rsid w:val="00172E27"/>
    <w:rsid w:val="001814AE"/>
    <w:rsid w:val="00184405"/>
    <w:rsid w:val="0019217D"/>
    <w:rsid w:val="001A31D7"/>
    <w:rsid w:val="001A67E9"/>
    <w:rsid w:val="001B17BD"/>
    <w:rsid w:val="001B1C93"/>
    <w:rsid w:val="001C4071"/>
    <w:rsid w:val="001C643C"/>
    <w:rsid w:val="001C7A35"/>
    <w:rsid w:val="001E5E8E"/>
    <w:rsid w:val="001F07E4"/>
    <w:rsid w:val="00201AE1"/>
    <w:rsid w:val="00202B2A"/>
    <w:rsid w:val="00210F80"/>
    <w:rsid w:val="0021197F"/>
    <w:rsid w:val="00216541"/>
    <w:rsid w:val="0021758F"/>
    <w:rsid w:val="00217CF5"/>
    <w:rsid w:val="002260D9"/>
    <w:rsid w:val="002262B1"/>
    <w:rsid w:val="00240FBF"/>
    <w:rsid w:val="00247CEA"/>
    <w:rsid w:val="00257FBA"/>
    <w:rsid w:val="00262688"/>
    <w:rsid w:val="0026705B"/>
    <w:rsid w:val="00272796"/>
    <w:rsid w:val="00275F57"/>
    <w:rsid w:val="00282779"/>
    <w:rsid w:val="002879B5"/>
    <w:rsid w:val="00291DA5"/>
    <w:rsid w:val="0029273F"/>
    <w:rsid w:val="00294D3D"/>
    <w:rsid w:val="002A3681"/>
    <w:rsid w:val="002A7824"/>
    <w:rsid w:val="002C0D51"/>
    <w:rsid w:val="002C14C0"/>
    <w:rsid w:val="002C250A"/>
    <w:rsid w:val="002C4852"/>
    <w:rsid w:val="002C54A0"/>
    <w:rsid w:val="002C79DF"/>
    <w:rsid w:val="002D19EF"/>
    <w:rsid w:val="002E1389"/>
    <w:rsid w:val="002F051E"/>
    <w:rsid w:val="002F46E0"/>
    <w:rsid w:val="002F58F5"/>
    <w:rsid w:val="0030369A"/>
    <w:rsid w:val="00305245"/>
    <w:rsid w:val="003070D8"/>
    <w:rsid w:val="00323473"/>
    <w:rsid w:val="00324C1F"/>
    <w:rsid w:val="0033004E"/>
    <w:rsid w:val="00333A29"/>
    <w:rsid w:val="003377BB"/>
    <w:rsid w:val="00343334"/>
    <w:rsid w:val="00355240"/>
    <w:rsid w:val="00365FC3"/>
    <w:rsid w:val="00366526"/>
    <w:rsid w:val="00366B53"/>
    <w:rsid w:val="0037068B"/>
    <w:rsid w:val="00371164"/>
    <w:rsid w:val="003911B3"/>
    <w:rsid w:val="00396E1F"/>
    <w:rsid w:val="00397243"/>
    <w:rsid w:val="003B125B"/>
    <w:rsid w:val="003B2057"/>
    <w:rsid w:val="003D10DD"/>
    <w:rsid w:val="003F5326"/>
    <w:rsid w:val="00400170"/>
    <w:rsid w:val="0040048A"/>
    <w:rsid w:val="00400A78"/>
    <w:rsid w:val="004018BB"/>
    <w:rsid w:val="004063F0"/>
    <w:rsid w:val="004072F4"/>
    <w:rsid w:val="00410497"/>
    <w:rsid w:val="0041259A"/>
    <w:rsid w:val="004169BB"/>
    <w:rsid w:val="00427266"/>
    <w:rsid w:val="00432746"/>
    <w:rsid w:val="00436083"/>
    <w:rsid w:val="00436E23"/>
    <w:rsid w:val="00441B72"/>
    <w:rsid w:val="00444F76"/>
    <w:rsid w:val="00446DCC"/>
    <w:rsid w:val="00450C32"/>
    <w:rsid w:val="00453FA1"/>
    <w:rsid w:val="00466CD0"/>
    <w:rsid w:val="00473233"/>
    <w:rsid w:val="004739E3"/>
    <w:rsid w:val="00474AA3"/>
    <w:rsid w:val="00475676"/>
    <w:rsid w:val="00483E3E"/>
    <w:rsid w:val="00485F3D"/>
    <w:rsid w:val="00486AE3"/>
    <w:rsid w:val="0049038F"/>
    <w:rsid w:val="0049298C"/>
    <w:rsid w:val="004A1624"/>
    <w:rsid w:val="004A4B39"/>
    <w:rsid w:val="004B1DED"/>
    <w:rsid w:val="004B27C5"/>
    <w:rsid w:val="004B5F89"/>
    <w:rsid w:val="004C110A"/>
    <w:rsid w:val="004C36DF"/>
    <w:rsid w:val="004C4694"/>
    <w:rsid w:val="004C476D"/>
    <w:rsid w:val="004C4FE1"/>
    <w:rsid w:val="004E22A3"/>
    <w:rsid w:val="004E547A"/>
    <w:rsid w:val="004E632D"/>
    <w:rsid w:val="004E6E21"/>
    <w:rsid w:val="004E7EE0"/>
    <w:rsid w:val="004F6C59"/>
    <w:rsid w:val="00500F4E"/>
    <w:rsid w:val="0051068B"/>
    <w:rsid w:val="00510EAF"/>
    <w:rsid w:val="00513576"/>
    <w:rsid w:val="005140E5"/>
    <w:rsid w:val="00517531"/>
    <w:rsid w:val="00523F9D"/>
    <w:rsid w:val="00540991"/>
    <w:rsid w:val="0054299C"/>
    <w:rsid w:val="005445B7"/>
    <w:rsid w:val="00552B54"/>
    <w:rsid w:val="00555A2D"/>
    <w:rsid w:val="00561C66"/>
    <w:rsid w:val="00562224"/>
    <w:rsid w:val="0056325B"/>
    <w:rsid w:val="00563F33"/>
    <w:rsid w:val="00566792"/>
    <w:rsid w:val="0057054B"/>
    <w:rsid w:val="0057073B"/>
    <w:rsid w:val="00583073"/>
    <w:rsid w:val="00585FFD"/>
    <w:rsid w:val="00593539"/>
    <w:rsid w:val="005A13CD"/>
    <w:rsid w:val="005A1DCE"/>
    <w:rsid w:val="005A4779"/>
    <w:rsid w:val="005A649C"/>
    <w:rsid w:val="005B55E0"/>
    <w:rsid w:val="005C639F"/>
    <w:rsid w:val="005D058D"/>
    <w:rsid w:val="005D2CA2"/>
    <w:rsid w:val="005D6967"/>
    <w:rsid w:val="005D6CD6"/>
    <w:rsid w:val="005E19BF"/>
    <w:rsid w:val="005E6C5D"/>
    <w:rsid w:val="005E7F11"/>
    <w:rsid w:val="005F14A3"/>
    <w:rsid w:val="005F64A3"/>
    <w:rsid w:val="005F7CFB"/>
    <w:rsid w:val="00605899"/>
    <w:rsid w:val="00612B80"/>
    <w:rsid w:val="0062109A"/>
    <w:rsid w:val="00632D84"/>
    <w:rsid w:val="00634BD4"/>
    <w:rsid w:val="0064230F"/>
    <w:rsid w:val="00645BF9"/>
    <w:rsid w:val="006570C3"/>
    <w:rsid w:val="00666D2F"/>
    <w:rsid w:val="0068111B"/>
    <w:rsid w:val="00681BB9"/>
    <w:rsid w:val="00687759"/>
    <w:rsid w:val="00690DFB"/>
    <w:rsid w:val="006B14F7"/>
    <w:rsid w:val="006B2C31"/>
    <w:rsid w:val="006B37BA"/>
    <w:rsid w:val="006C2B36"/>
    <w:rsid w:val="006C4EBB"/>
    <w:rsid w:val="006C7E04"/>
    <w:rsid w:val="006D221E"/>
    <w:rsid w:val="006D2620"/>
    <w:rsid w:val="006D4FEE"/>
    <w:rsid w:val="006D5218"/>
    <w:rsid w:val="006E7E32"/>
    <w:rsid w:val="006F1822"/>
    <w:rsid w:val="00702A6A"/>
    <w:rsid w:val="00703957"/>
    <w:rsid w:val="00705188"/>
    <w:rsid w:val="00713B5F"/>
    <w:rsid w:val="00717B55"/>
    <w:rsid w:val="0072402A"/>
    <w:rsid w:val="007336B5"/>
    <w:rsid w:val="007374CF"/>
    <w:rsid w:val="00745655"/>
    <w:rsid w:val="007648A1"/>
    <w:rsid w:val="00764E2D"/>
    <w:rsid w:val="007651E4"/>
    <w:rsid w:val="00772118"/>
    <w:rsid w:val="00785882"/>
    <w:rsid w:val="00793791"/>
    <w:rsid w:val="007A1247"/>
    <w:rsid w:val="007A4615"/>
    <w:rsid w:val="007A4965"/>
    <w:rsid w:val="007B3E30"/>
    <w:rsid w:val="007B5E13"/>
    <w:rsid w:val="007C0298"/>
    <w:rsid w:val="007C2423"/>
    <w:rsid w:val="007D1535"/>
    <w:rsid w:val="007E7782"/>
    <w:rsid w:val="00800516"/>
    <w:rsid w:val="0080103A"/>
    <w:rsid w:val="00807B4A"/>
    <w:rsid w:val="00810EE1"/>
    <w:rsid w:val="00814289"/>
    <w:rsid w:val="00816E35"/>
    <w:rsid w:val="00820D02"/>
    <w:rsid w:val="008248F7"/>
    <w:rsid w:val="00830BCE"/>
    <w:rsid w:val="008311CF"/>
    <w:rsid w:val="0083461B"/>
    <w:rsid w:val="0084085F"/>
    <w:rsid w:val="00841A4E"/>
    <w:rsid w:val="008444E7"/>
    <w:rsid w:val="00845A5F"/>
    <w:rsid w:val="00847133"/>
    <w:rsid w:val="00847CDC"/>
    <w:rsid w:val="008502A0"/>
    <w:rsid w:val="00852FFC"/>
    <w:rsid w:val="0086223B"/>
    <w:rsid w:val="00863218"/>
    <w:rsid w:val="00865450"/>
    <w:rsid w:val="008731EC"/>
    <w:rsid w:val="00874980"/>
    <w:rsid w:val="00883FFC"/>
    <w:rsid w:val="00885991"/>
    <w:rsid w:val="0088702C"/>
    <w:rsid w:val="00887B51"/>
    <w:rsid w:val="00891087"/>
    <w:rsid w:val="0089633E"/>
    <w:rsid w:val="00896348"/>
    <w:rsid w:val="008970D8"/>
    <w:rsid w:val="008A0AEB"/>
    <w:rsid w:val="008A0F38"/>
    <w:rsid w:val="008C0FC8"/>
    <w:rsid w:val="008C2C54"/>
    <w:rsid w:val="008C4945"/>
    <w:rsid w:val="008C5A6A"/>
    <w:rsid w:val="008C6E24"/>
    <w:rsid w:val="008D5AC5"/>
    <w:rsid w:val="008E7A4E"/>
    <w:rsid w:val="00904460"/>
    <w:rsid w:val="009050E8"/>
    <w:rsid w:val="00906207"/>
    <w:rsid w:val="0091256F"/>
    <w:rsid w:val="00913A3E"/>
    <w:rsid w:val="00917059"/>
    <w:rsid w:val="00924591"/>
    <w:rsid w:val="009276E3"/>
    <w:rsid w:val="0092772F"/>
    <w:rsid w:val="00932E7B"/>
    <w:rsid w:val="009415DA"/>
    <w:rsid w:val="00957DA6"/>
    <w:rsid w:val="00961649"/>
    <w:rsid w:val="00973AE2"/>
    <w:rsid w:val="0098065B"/>
    <w:rsid w:val="00995D2A"/>
    <w:rsid w:val="009B28C3"/>
    <w:rsid w:val="009C5536"/>
    <w:rsid w:val="009C6969"/>
    <w:rsid w:val="009D285C"/>
    <w:rsid w:val="009D4179"/>
    <w:rsid w:val="009D52B7"/>
    <w:rsid w:val="009E036C"/>
    <w:rsid w:val="009F4150"/>
    <w:rsid w:val="009F568F"/>
    <w:rsid w:val="00A0378F"/>
    <w:rsid w:val="00A1513E"/>
    <w:rsid w:val="00A154C3"/>
    <w:rsid w:val="00A253B5"/>
    <w:rsid w:val="00A27584"/>
    <w:rsid w:val="00A321FC"/>
    <w:rsid w:val="00A3561C"/>
    <w:rsid w:val="00A4272A"/>
    <w:rsid w:val="00A46CC5"/>
    <w:rsid w:val="00A55D9D"/>
    <w:rsid w:val="00A5775D"/>
    <w:rsid w:val="00A611EE"/>
    <w:rsid w:val="00A64286"/>
    <w:rsid w:val="00A645DC"/>
    <w:rsid w:val="00A85701"/>
    <w:rsid w:val="00A90BC0"/>
    <w:rsid w:val="00A95FE0"/>
    <w:rsid w:val="00AA4755"/>
    <w:rsid w:val="00AB2E2A"/>
    <w:rsid w:val="00AB4E58"/>
    <w:rsid w:val="00AC1720"/>
    <w:rsid w:val="00AD1897"/>
    <w:rsid w:val="00AE10D4"/>
    <w:rsid w:val="00AE1C9F"/>
    <w:rsid w:val="00AE3FC2"/>
    <w:rsid w:val="00AF0149"/>
    <w:rsid w:val="00B002CD"/>
    <w:rsid w:val="00B05586"/>
    <w:rsid w:val="00B154FB"/>
    <w:rsid w:val="00B23475"/>
    <w:rsid w:val="00B26CE6"/>
    <w:rsid w:val="00B27322"/>
    <w:rsid w:val="00B3162C"/>
    <w:rsid w:val="00B37A44"/>
    <w:rsid w:val="00B47449"/>
    <w:rsid w:val="00B52E73"/>
    <w:rsid w:val="00B5667C"/>
    <w:rsid w:val="00B60C2B"/>
    <w:rsid w:val="00B63F56"/>
    <w:rsid w:val="00B64568"/>
    <w:rsid w:val="00B6710D"/>
    <w:rsid w:val="00B7019D"/>
    <w:rsid w:val="00B7565B"/>
    <w:rsid w:val="00B820DC"/>
    <w:rsid w:val="00B86B39"/>
    <w:rsid w:val="00B963F3"/>
    <w:rsid w:val="00BA2246"/>
    <w:rsid w:val="00BB0799"/>
    <w:rsid w:val="00BB5511"/>
    <w:rsid w:val="00BC0C07"/>
    <w:rsid w:val="00BC7247"/>
    <w:rsid w:val="00BE2D99"/>
    <w:rsid w:val="00C0054C"/>
    <w:rsid w:val="00C016F8"/>
    <w:rsid w:val="00C04766"/>
    <w:rsid w:val="00C060DF"/>
    <w:rsid w:val="00C0725F"/>
    <w:rsid w:val="00C106A5"/>
    <w:rsid w:val="00C121A4"/>
    <w:rsid w:val="00C416B3"/>
    <w:rsid w:val="00C5042D"/>
    <w:rsid w:val="00C53EA0"/>
    <w:rsid w:val="00C56EAC"/>
    <w:rsid w:val="00C67BD5"/>
    <w:rsid w:val="00C71E8A"/>
    <w:rsid w:val="00C73CE8"/>
    <w:rsid w:val="00C831E4"/>
    <w:rsid w:val="00C835AC"/>
    <w:rsid w:val="00C905B8"/>
    <w:rsid w:val="00C90DA4"/>
    <w:rsid w:val="00CA5465"/>
    <w:rsid w:val="00CB28A6"/>
    <w:rsid w:val="00CB4135"/>
    <w:rsid w:val="00CB586A"/>
    <w:rsid w:val="00CB6E75"/>
    <w:rsid w:val="00CC33AD"/>
    <w:rsid w:val="00CC3F50"/>
    <w:rsid w:val="00CC73A1"/>
    <w:rsid w:val="00CC7642"/>
    <w:rsid w:val="00CE1A17"/>
    <w:rsid w:val="00CE1E77"/>
    <w:rsid w:val="00CE2C16"/>
    <w:rsid w:val="00CE3DCE"/>
    <w:rsid w:val="00CE560F"/>
    <w:rsid w:val="00CF7663"/>
    <w:rsid w:val="00D013F5"/>
    <w:rsid w:val="00D04C43"/>
    <w:rsid w:val="00D1496E"/>
    <w:rsid w:val="00D16436"/>
    <w:rsid w:val="00D169F8"/>
    <w:rsid w:val="00D174C6"/>
    <w:rsid w:val="00D21044"/>
    <w:rsid w:val="00D272E9"/>
    <w:rsid w:val="00D319AE"/>
    <w:rsid w:val="00D34AD2"/>
    <w:rsid w:val="00D42F75"/>
    <w:rsid w:val="00D47A47"/>
    <w:rsid w:val="00D523E0"/>
    <w:rsid w:val="00D60CB7"/>
    <w:rsid w:val="00D6313A"/>
    <w:rsid w:val="00D6340C"/>
    <w:rsid w:val="00D653E3"/>
    <w:rsid w:val="00D82F36"/>
    <w:rsid w:val="00D832E0"/>
    <w:rsid w:val="00D902D3"/>
    <w:rsid w:val="00D96C88"/>
    <w:rsid w:val="00DA420D"/>
    <w:rsid w:val="00DB6D08"/>
    <w:rsid w:val="00DC3BD5"/>
    <w:rsid w:val="00DC4BA8"/>
    <w:rsid w:val="00DC50E3"/>
    <w:rsid w:val="00DD1A9B"/>
    <w:rsid w:val="00DE27FF"/>
    <w:rsid w:val="00DE4AA9"/>
    <w:rsid w:val="00DE6B5C"/>
    <w:rsid w:val="00DF449A"/>
    <w:rsid w:val="00E053A2"/>
    <w:rsid w:val="00E15D08"/>
    <w:rsid w:val="00E16B1B"/>
    <w:rsid w:val="00E170EA"/>
    <w:rsid w:val="00E201B1"/>
    <w:rsid w:val="00E429CB"/>
    <w:rsid w:val="00E47360"/>
    <w:rsid w:val="00E47871"/>
    <w:rsid w:val="00E503DC"/>
    <w:rsid w:val="00E53F3E"/>
    <w:rsid w:val="00E54940"/>
    <w:rsid w:val="00E56389"/>
    <w:rsid w:val="00E62B18"/>
    <w:rsid w:val="00E66ABF"/>
    <w:rsid w:val="00E741B7"/>
    <w:rsid w:val="00E83486"/>
    <w:rsid w:val="00E8580A"/>
    <w:rsid w:val="00E95F35"/>
    <w:rsid w:val="00E9755E"/>
    <w:rsid w:val="00EA1E67"/>
    <w:rsid w:val="00EA4675"/>
    <w:rsid w:val="00EB6165"/>
    <w:rsid w:val="00EB63E6"/>
    <w:rsid w:val="00EC0B3C"/>
    <w:rsid w:val="00EC4F29"/>
    <w:rsid w:val="00EC7641"/>
    <w:rsid w:val="00ED4F65"/>
    <w:rsid w:val="00EE4F48"/>
    <w:rsid w:val="00EF0259"/>
    <w:rsid w:val="00EF40A0"/>
    <w:rsid w:val="00EF57AB"/>
    <w:rsid w:val="00EF67C1"/>
    <w:rsid w:val="00F05C9D"/>
    <w:rsid w:val="00F16827"/>
    <w:rsid w:val="00F21F15"/>
    <w:rsid w:val="00F23F68"/>
    <w:rsid w:val="00F244BD"/>
    <w:rsid w:val="00F32AB8"/>
    <w:rsid w:val="00F352D1"/>
    <w:rsid w:val="00F46BDA"/>
    <w:rsid w:val="00F520F2"/>
    <w:rsid w:val="00F570E3"/>
    <w:rsid w:val="00F67BFD"/>
    <w:rsid w:val="00F7101A"/>
    <w:rsid w:val="00F720C5"/>
    <w:rsid w:val="00F73A82"/>
    <w:rsid w:val="00F75FB0"/>
    <w:rsid w:val="00F86C9E"/>
    <w:rsid w:val="00F86E30"/>
    <w:rsid w:val="00F90647"/>
    <w:rsid w:val="00F97A1B"/>
    <w:rsid w:val="00F97BA4"/>
    <w:rsid w:val="00FA1451"/>
    <w:rsid w:val="00FA2F42"/>
    <w:rsid w:val="00FA603A"/>
    <w:rsid w:val="00FB79C0"/>
    <w:rsid w:val="00FB7C20"/>
    <w:rsid w:val="00FC30DF"/>
    <w:rsid w:val="00FC6C89"/>
    <w:rsid w:val="00FD07F7"/>
    <w:rsid w:val="00FD27E6"/>
    <w:rsid w:val="00FD3D1C"/>
    <w:rsid w:val="00FE0D12"/>
    <w:rsid w:val="00FE4784"/>
    <w:rsid w:val="00FE7A62"/>
    <w:rsid w:val="00FF0B75"/>
    <w:rsid w:val="00FF1484"/>
    <w:rsid w:val="00FF44AE"/>
    <w:rsid w:val="00FF46F9"/>
    <w:rsid w:val="00FF61BC"/>
    <w:rsid w:val="01B511CF"/>
    <w:rsid w:val="02B71F28"/>
    <w:rsid w:val="03F616D6"/>
    <w:rsid w:val="07E04497"/>
    <w:rsid w:val="0AD11E75"/>
    <w:rsid w:val="0B1004FB"/>
    <w:rsid w:val="0E3A02BC"/>
    <w:rsid w:val="0FAC349D"/>
    <w:rsid w:val="101D7F82"/>
    <w:rsid w:val="102D5468"/>
    <w:rsid w:val="11B83355"/>
    <w:rsid w:val="13635598"/>
    <w:rsid w:val="14465852"/>
    <w:rsid w:val="15C52657"/>
    <w:rsid w:val="18064E13"/>
    <w:rsid w:val="195A37F1"/>
    <w:rsid w:val="19CE2462"/>
    <w:rsid w:val="19DC4392"/>
    <w:rsid w:val="1A402B73"/>
    <w:rsid w:val="1A624A13"/>
    <w:rsid w:val="1BA04359"/>
    <w:rsid w:val="1D630053"/>
    <w:rsid w:val="1D745EE6"/>
    <w:rsid w:val="1FA37098"/>
    <w:rsid w:val="1FD7246A"/>
    <w:rsid w:val="21BB7CA8"/>
    <w:rsid w:val="235D02F2"/>
    <w:rsid w:val="2762237B"/>
    <w:rsid w:val="276746C9"/>
    <w:rsid w:val="2A66792D"/>
    <w:rsid w:val="2CFF3478"/>
    <w:rsid w:val="2DB31B82"/>
    <w:rsid w:val="32586854"/>
    <w:rsid w:val="32AC094E"/>
    <w:rsid w:val="33D37809"/>
    <w:rsid w:val="33D67D8A"/>
    <w:rsid w:val="35FA5E74"/>
    <w:rsid w:val="37B309C9"/>
    <w:rsid w:val="38CC58A6"/>
    <w:rsid w:val="3C1A067E"/>
    <w:rsid w:val="3C577B7C"/>
    <w:rsid w:val="3DCC6348"/>
    <w:rsid w:val="3ECA1BDD"/>
    <w:rsid w:val="428224F0"/>
    <w:rsid w:val="42D261AF"/>
    <w:rsid w:val="42D57A4D"/>
    <w:rsid w:val="43CD6976"/>
    <w:rsid w:val="43F263DD"/>
    <w:rsid w:val="43FD192F"/>
    <w:rsid w:val="44DD0E3B"/>
    <w:rsid w:val="454B3FF6"/>
    <w:rsid w:val="46132D66"/>
    <w:rsid w:val="46362EF9"/>
    <w:rsid w:val="463F7FFF"/>
    <w:rsid w:val="4A631737"/>
    <w:rsid w:val="4AFD5D93"/>
    <w:rsid w:val="4EB90223"/>
    <w:rsid w:val="4F9E08CB"/>
    <w:rsid w:val="51022355"/>
    <w:rsid w:val="523A50BC"/>
    <w:rsid w:val="567F1D52"/>
    <w:rsid w:val="57AC6B77"/>
    <w:rsid w:val="5847689F"/>
    <w:rsid w:val="588F1FFB"/>
    <w:rsid w:val="58C947AA"/>
    <w:rsid w:val="58D1300F"/>
    <w:rsid w:val="59020D60"/>
    <w:rsid w:val="596D0588"/>
    <w:rsid w:val="59A73D4E"/>
    <w:rsid w:val="5A08422A"/>
    <w:rsid w:val="5A277DFB"/>
    <w:rsid w:val="5B721072"/>
    <w:rsid w:val="5BD973EB"/>
    <w:rsid w:val="5EC24ED2"/>
    <w:rsid w:val="5EF62DCD"/>
    <w:rsid w:val="5FE91989"/>
    <w:rsid w:val="6170182A"/>
    <w:rsid w:val="61C827FF"/>
    <w:rsid w:val="62740A30"/>
    <w:rsid w:val="627B50DB"/>
    <w:rsid w:val="62BD37D0"/>
    <w:rsid w:val="62BF5904"/>
    <w:rsid w:val="664A237C"/>
    <w:rsid w:val="66D460EA"/>
    <w:rsid w:val="687E3158"/>
    <w:rsid w:val="6A200FA0"/>
    <w:rsid w:val="6B4526B6"/>
    <w:rsid w:val="6D3276C6"/>
    <w:rsid w:val="6DD9712E"/>
    <w:rsid w:val="6E3525B0"/>
    <w:rsid w:val="6F85105E"/>
    <w:rsid w:val="704B4D67"/>
    <w:rsid w:val="713B0D57"/>
    <w:rsid w:val="74463A57"/>
    <w:rsid w:val="748527D2"/>
    <w:rsid w:val="74A3508C"/>
    <w:rsid w:val="76962A74"/>
    <w:rsid w:val="773D3837"/>
    <w:rsid w:val="77E872FF"/>
    <w:rsid w:val="78474A20"/>
    <w:rsid w:val="7A565290"/>
    <w:rsid w:val="7B803546"/>
    <w:rsid w:val="7F2A164C"/>
    <w:rsid w:val="7FFF2F9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1"/>
    <w:qFormat/>
    <w:uiPriority w:val="0"/>
    <w:pPr>
      <w:keepNext/>
      <w:keepLines/>
      <w:numPr>
        <w:ilvl w:val="0"/>
        <w:numId w:val="1"/>
      </w:numPr>
      <w:spacing w:beforeLines="50" w:afterLines="50" w:line="360" w:lineRule="auto"/>
      <w:outlineLvl w:val="0"/>
    </w:pPr>
    <w:rPr>
      <w:rFonts w:ascii="Times New Roman" w:hAnsi="Times New Roman" w:eastAsia="楷体_GB2312" w:cs="Times New Roman"/>
      <w:b/>
      <w:kern w:val="44"/>
      <w:sz w:val="44"/>
      <w:szCs w:val="21"/>
    </w:rPr>
  </w:style>
  <w:style w:type="paragraph" w:styleId="3">
    <w:name w:val="heading 2"/>
    <w:basedOn w:val="1"/>
    <w:next w:val="1"/>
    <w:link w:val="42"/>
    <w:qFormat/>
    <w:uiPriority w:val="0"/>
    <w:pPr>
      <w:keepNext/>
      <w:keepLines/>
      <w:numPr>
        <w:ilvl w:val="1"/>
        <w:numId w:val="1"/>
      </w:numPr>
      <w:spacing w:beforeLines="50" w:afterLines="50" w:line="360" w:lineRule="auto"/>
      <w:jc w:val="left"/>
      <w:outlineLvl w:val="1"/>
    </w:pPr>
    <w:rPr>
      <w:rFonts w:ascii="Times New Roman" w:hAnsi="Times New Roman" w:eastAsia="楷体_GB2312" w:cs="Times New Roman"/>
      <w:b/>
      <w:bCs/>
      <w:smallCaps/>
      <w:sz w:val="36"/>
      <w:szCs w:val="28"/>
    </w:rPr>
  </w:style>
  <w:style w:type="paragraph" w:styleId="4">
    <w:name w:val="heading 3"/>
    <w:basedOn w:val="1"/>
    <w:next w:val="1"/>
    <w:link w:val="43"/>
    <w:qFormat/>
    <w:uiPriority w:val="0"/>
    <w:pPr>
      <w:keepNext/>
      <w:keepLines/>
      <w:numPr>
        <w:ilvl w:val="2"/>
        <w:numId w:val="1"/>
      </w:numPr>
      <w:spacing w:beforeLines="50" w:afterLines="50" w:line="360" w:lineRule="auto"/>
      <w:outlineLvl w:val="2"/>
    </w:pPr>
    <w:rPr>
      <w:rFonts w:ascii="Times New Roman" w:hAnsi="Times New Roman" w:eastAsia="华文楷体" w:cs="Times New Roman"/>
      <w:b/>
      <w:bCs/>
      <w:sz w:val="32"/>
      <w:szCs w:val="21"/>
    </w:rPr>
  </w:style>
  <w:style w:type="paragraph" w:styleId="5">
    <w:name w:val="heading 4"/>
    <w:basedOn w:val="1"/>
    <w:next w:val="1"/>
    <w:link w:val="44"/>
    <w:qFormat/>
    <w:uiPriority w:val="0"/>
    <w:pPr>
      <w:numPr>
        <w:ilvl w:val="3"/>
        <w:numId w:val="1"/>
      </w:numPr>
      <w:adjustRightInd w:val="0"/>
      <w:spacing w:beforeLines="50" w:afterLines="50" w:line="360" w:lineRule="auto"/>
      <w:ind w:left="0" w:firstLine="0"/>
      <w:jc w:val="left"/>
      <w:textAlignment w:val="baseline"/>
      <w:outlineLvl w:val="3"/>
    </w:pPr>
    <w:rPr>
      <w:rFonts w:ascii="Times New Roman" w:hAnsi="Times New Roman" w:eastAsia="宋体" w:cs="Times New Roman"/>
      <w:b/>
      <w:bCs/>
      <w:smallCaps/>
      <w:sz w:val="28"/>
      <w:szCs w:val="24"/>
    </w:rPr>
  </w:style>
  <w:style w:type="character" w:default="1" w:styleId="18">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eastAsia="黑体" w:asciiTheme="majorHAnsi" w:hAnsiTheme="majorHAnsi" w:cstheme="majorBidi"/>
      <w:sz w:val="20"/>
      <w:szCs w:val="20"/>
    </w:rPr>
  </w:style>
  <w:style w:type="paragraph" w:styleId="7">
    <w:name w:val="Document Map"/>
    <w:basedOn w:val="1"/>
    <w:link w:val="54"/>
    <w:semiHidden/>
    <w:unhideWhenUsed/>
    <w:qFormat/>
    <w:uiPriority w:val="99"/>
    <w:rPr>
      <w:rFonts w:ascii="宋体" w:eastAsia="宋体"/>
      <w:sz w:val="18"/>
      <w:szCs w:val="18"/>
    </w:rPr>
  </w:style>
  <w:style w:type="paragraph" w:styleId="8">
    <w:name w:val="annotation text"/>
    <w:basedOn w:val="1"/>
    <w:link w:val="47"/>
    <w:unhideWhenUsed/>
    <w:qFormat/>
    <w:uiPriority w:val="99"/>
    <w:pPr>
      <w:jc w:val="left"/>
    </w:pPr>
  </w:style>
  <w:style w:type="paragraph" w:styleId="9">
    <w:name w:val="toc 3"/>
    <w:basedOn w:val="1"/>
    <w:next w:val="1"/>
    <w:unhideWhenUsed/>
    <w:qFormat/>
    <w:uiPriority w:val="39"/>
    <w:pPr>
      <w:ind w:left="840" w:leftChars="400"/>
    </w:pPr>
    <w:rPr>
      <w:rFonts w:ascii="Times New Roman" w:hAnsi="Times New Roman" w:eastAsia="宋体"/>
    </w:rPr>
  </w:style>
  <w:style w:type="paragraph" w:styleId="10">
    <w:name w:val="Balloon Text"/>
    <w:basedOn w:val="1"/>
    <w:link w:val="55"/>
    <w:semiHidden/>
    <w:unhideWhenUsed/>
    <w:qFormat/>
    <w:uiPriority w:val="99"/>
    <w:rPr>
      <w:sz w:val="18"/>
      <w:szCs w:val="18"/>
    </w:rPr>
  </w:style>
  <w:style w:type="paragraph" w:styleId="11">
    <w:name w:val="footer"/>
    <w:basedOn w:val="1"/>
    <w:link w:val="37"/>
    <w:unhideWhenUsed/>
    <w:qFormat/>
    <w:uiPriority w:val="99"/>
    <w:pPr>
      <w:tabs>
        <w:tab w:val="center" w:pos="4153"/>
        <w:tab w:val="right" w:pos="8306"/>
      </w:tabs>
      <w:snapToGrid w:val="0"/>
      <w:jc w:val="left"/>
    </w:pPr>
    <w:rPr>
      <w:rFonts w:ascii="Times New Roman" w:hAnsi="Times New Roman"/>
      <w:sz w:val="18"/>
      <w:szCs w:val="18"/>
    </w:rPr>
  </w:style>
  <w:style w:type="paragraph" w:styleId="12">
    <w:name w:val="header"/>
    <w:basedOn w:val="1"/>
    <w:link w:val="40"/>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rPr>
      <w:rFonts w:ascii="Times New Roman" w:hAnsi="Times New Roman" w:eastAsia="黑体"/>
      <w:b/>
    </w:rPr>
  </w:style>
  <w:style w:type="paragraph" w:styleId="14">
    <w:name w:val="toc 2"/>
    <w:basedOn w:val="1"/>
    <w:next w:val="1"/>
    <w:unhideWhenUsed/>
    <w:qFormat/>
    <w:uiPriority w:val="39"/>
    <w:pPr>
      <w:ind w:left="420" w:leftChars="200"/>
    </w:pPr>
    <w:rPr>
      <w:rFonts w:ascii="Times New Roman" w:hAnsi="Times New Roman" w:eastAsia="宋体"/>
    </w:rPr>
  </w:style>
  <w:style w:type="paragraph" w:styleId="15">
    <w:name w:val="annotation subject"/>
    <w:basedOn w:val="8"/>
    <w:next w:val="8"/>
    <w:link w:val="48"/>
    <w:semiHidden/>
    <w:unhideWhenUsed/>
    <w:qFormat/>
    <w:uiPriority w:val="99"/>
    <w:rPr>
      <w:b/>
      <w:bCs/>
    </w:rPr>
  </w:style>
  <w:style w:type="table" w:styleId="17">
    <w:name w:val="Table Grid"/>
    <w:basedOn w:val="16"/>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22"/>
    <w:rPr>
      <w:b/>
      <w:bCs/>
    </w:rPr>
  </w:style>
  <w:style w:type="character" w:styleId="20">
    <w:name w:val="Emphasis"/>
    <w:basedOn w:val="18"/>
    <w:qFormat/>
    <w:uiPriority w:val="20"/>
    <w:rPr>
      <w:i/>
    </w:rPr>
  </w:style>
  <w:style w:type="character" w:styleId="21">
    <w:name w:val="Hyperlink"/>
    <w:basedOn w:val="18"/>
    <w:unhideWhenUsed/>
    <w:qFormat/>
    <w:uiPriority w:val="99"/>
    <w:rPr>
      <w:rFonts w:ascii="Times New Roman" w:hAnsi="Times New Roman" w:eastAsia="宋体"/>
      <w:color w:val="auto"/>
      <w:sz w:val="21"/>
      <w:u w:val="none"/>
      <w:vertAlign w:val="baseline"/>
    </w:rPr>
  </w:style>
  <w:style w:type="character" w:styleId="22">
    <w:name w:val="annotation reference"/>
    <w:basedOn w:val="18"/>
    <w:semiHidden/>
    <w:unhideWhenUsed/>
    <w:qFormat/>
    <w:uiPriority w:val="99"/>
    <w:rPr>
      <w:sz w:val="21"/>
      <w:szCs w:val="21"/>
    </w:rPr>
  </w:style>
  <w:style w:type="paragraph" w:customStyle="1" w:styleId="23">
    <w:name w:val="A-z正文"/>
    <w:basedOn w:val="1"/>
    <w:link w:val="24"/>
    <w:qFormat/>
    <w:uiPriority w:val="0"/>
    <w:pPr>
      <w:spacing w:line="360" w:lineRule="auto"/>
      <w:ind w:firstLine="200" w:firstLineChars="200"/>
    </w:pPr>
    <w:rPr>
      <w:rFonts w:ascii="Times New Roman" w:hAnsi="Times New Roman" w:eastAsia="宋体" w:cs="宋体"/>
      <w:sz w:val="24"/>
      <w:szCs w:val="20"/>
    </w:rPr>
  </w:style>
  <w:style w:type="character" w:customStyle="1" w:styleId="24">
    <w:name w:val="A-z正文 Char"/>
    <w:basedOn w:val="18"/>
    <w:link w:val="23"/>
    <w:qFormat/>
    <w:uiPriority w:val="0"/>
    <w:rPr>
      <w:rFonts w:ascii="Times New Roman" w:hAnsi="Times New Roman" w:eastAsia="宋体" w:cs="宋体"/>
      <w:sz w:val="24"/>
      <w:szCs w:val="20"/>
    </w:rPr>
  </w:style>
  <w:style w:type="table" w:customStyle="1" w:styleId="25">
    <w:name w:val="A-表格属性"/>
    <w:basedOn w:val="16"/>
    <w:qFormat/>
    <w:uiPriority w:val="99"/>
    <w:pPr>
      <w:jc w:val="center"/>
    </w:pPr>
    <w:tblP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
    <w:trPr>
      <w:tblHeader/>
    </w:trPr>
    <w:tcPr>
      <w:vAlign w:val="center"/>
    </w:tcPr>
  </w:style>
  <w:style w:type="paragraph" w:customStyle="1" w:styleId="26">
    <w:name w:val="A-表格文字"/>
    <w:basedOn w:val="1"/>
    <w:next w:val="23"/>
    <w:link w:val="27"/>
    <w:qFormat/>
    <w:uiPriority w:val="0"/>
    <w:pPr>
      <w:autoSpaceDE w:val="0"/>
      <w:autoSpaceDN w:val="0"/>
      <w:adjustRightInd w:val="0"/>
      <w:jc w:val="center"/>
      <w:textAlignment w:val="center"/>
    </w:pPr>
    <w:rPr>
      <w:rFonts w:ascii="Times New Roman" w:hAnsi="Times New Roman" w:eastAsia="宋体" w:cs="Times New Roman"/>
      <w:kern w:val="0"/>
      <w:szCs w:val="21"/>
    </w:rPr>
  </w:style>
  <w:style w:type="character" w:customStyle="1" w:styleId="27">
    <w:name w:val="A-表格文字 Char"/>
    <w:basedOn w:val="18"/>
    <w:link w:val="26"/>
    <w:qFormat/>
    <w:uiPriority w:val="0"/>
    <w:rPr>
      <w:rFonts w:ascii="Times New Roman" w:hAnsi="Times New Roman" w:eastAsia="宋体" w:cs="Times New Roman"/>
      <w:kern w:val="0"/>
      <w:szCs w:val="21"/>
    </w:rPr>
  </w:style>
  <w:style w:type="paragraph" w:customStyle="1" w:styleId="28">
    <w:name w:val="A-题注-表"/>
    <w:basedOn w:val="6"/>
    <w:link w:val="29"/>
    <w:qFormat/>
    <w:uiPriority w:val="0"/>
    <w:pPr>
      <w:keepNext/>
      <w:spacing w:line="360" w:lineRule="auto"/>
      <w:jc w:val="center"/>
    </w:pPr>
    <w:rPr>
      <w:rFonts w:ascii="Times New Roman" w:hAnsi="Times New Roman" w:eastAsia="宋体" w:cs="Arial"/>
      <w:b/>
      <w:sz w:val="21"/>
    </w:rPr>
  </w:style>
  <w:style w:type="character" w:customStyle="1" w:styleId="29">
    <w:name w:val="A-题注-表 Char"/>
    <w:basedOn w:val="18"/>
    <w:link w:val="28"/>
    <w:qFormat/>
    <w:uiPriority w:val="0"/>
    <w:rPr>
      <w:rFonts w:cs="Arial"/>
      <w:b/>
      <w:kern w:val="2"/>
      <w:sz w:val="21"/>
    </w:rPr>
  </w:style>
  <w:style w:type="paragraph" w:customStyle="1" w:styleId="30">
    <w:name w:val="A-题注-图"/>
    <w:basedOn w:val="28"/>
    <w:link w:val="31"/>
    <w:qFormat/>
    <w:uiPriority w:val="0"/>
  </w:style>
  <w:style w:type="character" w:customStyle="1" w:styleId="31">
    <w:name w:val="A-题注-图 Char"/>
    <w:basedOn w:val="29"/>
    <w:link w:val="30"/>
    <w:qFormat/>
    <w:uiPriority w:val="0"/>
    <w:rPr>
      <w:rFonts w:cs="Arial"/>
      <w:kern w:val="2"/>
      <w:sz w:val="21"/>
    </w:rPr>
  </w:style>
  <w:style w:type="paragraph" w:customStyle="1" w:styleId="32">
    <w:name w:val="A-尾注"/>
    <w:basedOn w:val="23"/>
    <w:link w:val="33"/>
    <w:qFormat/>
    <w:uiPriority w:val="0"/>
    <w:pPr>
      <w:spacing w:line="240" w:lineRule="auto"/>
      <w:ind w:firstLine="0" w:firstLineChars="0"/>
      <w:jc w:val="left"/>
    </w:pPr>
    <w:rPr>
      <w:rFonts w:cs="Times New Roman"/>
      <w:sz w:val="18"/>
    </w:rPr>
  </w:style>
  <w:style w:type="character" w:customStyle="1" w:styleId="33">
    <w:name w:val="A-尾注 Char"/>
    <w:basedOn w:val="24"/>
    <w:link w:val="32"/>
    <w:qFormat/>
    <w:uiPriority w:val="0"/>
    <w:rPr>
      <w:rFonts w:ascii="Times New Roman" w:hAnsi="Times New Roman" w:eastAsia="宋体" w:cs="Times New Roman"/>
      <w:sz w:val="18"/>
      <w:szCs w:val="20"/>
    </w:rPr>
  </w:style>
  <w:style w:type="paragraph" w:customStyle="1" w:styleId="34">
    <w:name w:val="A-问题已解决"/>
    <w:basedOn w:val="1"/>
    <w:qFormat/>
    <w:uiPriority w:val="0"/>
    <w:pPr>
      <w:spacing w:line="360" w:lineRule="auto"/>
      <w:ind w:firstLine="444" w:firstLineChars="200"/>
    </w:pPr>
    <w:rPr>
      <w:rFonts w:ascii="宋体" w:hAnsi="Times New Roman" w:eastAsia="宋体" w:cs="宋体"/>
      <w:strike/>
      <w:szCs w:val="21"/>
    </w:rPr>
  </w:style>
  <w:style w:type="paragraph" w:customStyle="1" w:styleId="35">
    <w:name w:val="A-页脚"/>
    <w:basedOn w:val="11"/>
    <w:link w:val="36"/>
    <w:qFormat/>
    <w:uiPriority w:val="0"/>
    <w:pPr>
      <w:ind w:firstLine="480"/>
    </w:pPr>
    <w:rPr>
      <w:rFonts w:eastAsia="宋体" w:cs="Times New Roman"/>
    </w:rPr>
  </w:style>
  <w:style w:type="character" w:customStyle="1" w:styleId="36">
    <w:name w:val="A-页脚 Char"/>
    <w:basedOn w:val="18"/>
    <w:link w:val="35"/>
    <w:qFormat/>
    <w:uiPriority w:val="0"/>
    <w:rPr>
      <w:rFonts w:ascii="Times New Roman" w:hAnsi="Times New Roman" w:eastAsia="宋体" w:cs="Times New Roman"/>
      <w:sz w:val="18"/>
      <w:szCs w:val="18"/>
    </w:rPr>
  </w:style>
  <w:style w:type="character" w:customStyle="1" w:styleId="37">
    <w:name w:val="页脚 字符"/>
    <w:basedOn w:val="18"/>
    <w:link w:val="11"/>
    <w:qFormat/>
    <w:uiPriority w:val="99"/>
    <w:rPr>
      <w:rFonts w:eastAsiaTheme="minorEastAsia" w:cstheme="minorBidi"/>
      <w:kern w:val="2"/>
      <w:sz w:val="18"/>
      <w:szCs w:val="18"/>
    </w:rPr>
  </w:style>
  <w:style w:type="paragraph" w:customStyle="1" w:styleId="38">
    <w:name w:val="A-页眉"/>
    <w:basedOn w:val="12"/>
    <w:link w:val="39"/>
    <w:qFormat/>
    <w:uiPriority w:val="0"/>
    <w:pPr>
      <w:ind w:firstLine="480"/>
    </w:pPr>
    <w:rPr>
      <w:rFonts w:ascii="Times New Roman" w:hAnsi="Times New Roman" w:eastAsia="宋体" w:cs="Times New Roman"/>
      <w:lang w:val="zh-CN"/>
    </w:rPr>
  </w:style>
  <w:style w:type="character" w:customStyle="1" w:styleId="39">
    <w:name w:val="A-页眉 Char"/>
    <w:basedOn w:val="18"/>
    <w:link w:val="38"/>
    <w:qFormat/>
    <w:uiPriority w:val="0"/>
    <w:rPr>
      <w:rFonts w:ascii="Times New Roman" w:hAnsi="Times New Roman" w:eastAsia="宋体" w:cs="Times New Roman"/>
      <w:sz w:val="18"/>
      <w:szCs w:val="18"/>
      <w:lang w:val="zh-CN"/>
    </w:rPr>
  </w:style>
  <w:style w:type="character" w:customStyle="1" w:styleId="40">
    <w:name w:val="页眉 字符"/>
    <w:basedOn w:val="18"/>
    <w:link w:val="12"/>
    <w:qFormat/>
    <w:uiPriority w:val="99"/>
    <w:rPr>
      <w:sz w:val="18"/>
      <w:szCs w:val="18"/>
    </w:rPr>
  </w:style>
  <w:style w:type="character" w:customStyle="1" w:styleId="41">
    <w:name w:val="标题 1 字符"/>
    <w:basedOn w:val="18"/>
    <w:link w:val="2"/>
    <w:qFormat/>
    <w:uiPriority w:val="0"/>
    <w:rPr>
      <w:rFonts w:ascii="Times New Roman" w:hAnsi="Times New Roman" w:eastAsia="楷体_GB2312" w:cs="Times New Roman"/>
      <w:b/>
      <w:kern w:val="44"/>
      <w:sz w:val="44"/>
      <w:szCs w:val="21"/>
    </w:rPr>
  </w:style>
  <w:style w:type="character" w:customStyle="1" w:styleId="42">
    <w:name w:val="标题 2 字符"/>
    <w:basedOn w:val="18"/>
    <w:link w:val="3"/>
    <w:qFormat/>
    <w:uiPriority w:val="0"/>
    <w:rPr>
      <w:rFonts w:ascii="Times New Roman" w:hAnsi="Times New Roman" w:eastAsia="楷体_GB2312" w:cs="Times New Roman"/>
      <w:b/>
      <w:bCs/>
      <w:smallCaps/>
      <w:sz w:val="36"/>
      <w:szCs w:val="28"/>
    </w:rPr>
  </w:style>
  <w:style w:type="character" w:customStyle="1" w:styleId="43">
    <w:name w:val="标题 3 字符"/>
    <w:basedOn w:val="18"/>
    <w:link w:val="4"/>
    <w:qFormat/>
    <w:uiPriority w:val="0"/>
    <w:rPr>
      <w:rFonts w:ascii="Times New Roman" w:hAnsi="Times New Roman" w:eastAsia="华文楷体" w:cs="Times New Roman"/>
      <w:b/>
      <w:bCs/>
      <w:sz w:val="32"/>
      <w:szCs w:val="21"/>
    </w:rPr>
  </w:style>
  <w:style w:type="character" w:customStyle="1" w:styleId="44">
    <w:name w:val="标题 4 字符"/>
    <w:basedOn w:val="18"/>
    <w:link w:val="5"/>
    <w:qFormat/>
    <w:uiPriority w:val="0"/>
    <w:rPr>
      <w:rFonts w:ascii="Times New Roman" w:hAnsi="Times New Roman" w:eastAsia="宋体" w:cs="Times New Roman"/>
      <w:b/>
      <w:bCs/>
      <w:smallCaps/>
      <w:sz w:val="28"/>
      <w:szCs w:val="24"/>
    </w:rPr>
  </w:style>
  <w:style w:type="paragraph" w:styleId="45">
    <w:name w:val="List Paragraph"/>
    <w:basedOn w:val="1"/>
    <w:qFormat/>
    <w:uiPriority w:val="34"/>
    <w:pPr>
      <w:ind w:firstLine="420" w:firstLineChars="200"/>
    </w:pPr>
  </w:style>
  <w:style w:type="paragraph" w:customStyle="1" w:styleId="46">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character" w:customStyle="1" w:styleId="47">
    <w:name w:val="批注文字 字符"/>
    <w:basedOn w:val="18"/>
    <w:link w:val="8"/>
    <w:qFormat/>
    <w:uiPriority w:val="99"/>
  </w:style>
  <w:style w:type="character" w:customStyle="1" w:styleId="48">
    <w:name w:val="批注主题 字符"/>
    <w:basedOn w:val="47"/>
    <w:link w:val="15"/>
    <w:semiHidden/>
    <w:qFormat/>
    <w:uiPriority w:val="99"/>
    <w:rPr>
      <w:b/>
      <w:bCs/>
    </w:rPr>
  </w:style>
  <w:style w:type="paragraph" w:customStyle="1" w:styleId="49">
    <w:name w:val="TOC 标题1"/>
    <w:basedOn w:val="2"/>
    <w:next w:val="1"/>
    <w:unhideWhenUsed/>
    <w:qFormat/>
    <w:uiPriority w:val="39"/>
    <w:pPr>
      <w:widowControl/>
      <w:numPr>
        <w:numId w:val="0"/>
      </w:numPr>
      <w:spacing w:beforeLines="0" w:afterLines="0" w:line="259" w:lineRule="auto"/>
      <w:jc w:val="left"/>
      <w:outlineLvl w:val="9"/>
    </w:pPr>
    <w:rPr>
      <w:rFonts w:asciiTheme="majorHAnsi" w:hAnsiTheme="majorHAnsi" w:eastAsiaTheme="majorEastAsia" w:cstheme="majorBidi"/>
      <w:b w:val="0"/>
      <w:color w:val="2F5597" w:themeColor="accent1" w:themeShade="BF"/>
      <w:kern w:val="0"/>
      <w:sz w:val="32"/>
      <w:szCs w:val="32"/>
    </w:rPr>
  </w:style>
  <w:style w:type="paragraph" w:customStyle="1" w:styleId="50">
    <w:name w:val="段"/>
    <w:link w:val="58"/>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51">
    <w:name w:val="font31"/>
    <w:basedOn w:val="18"/>
    <w:qFormat/>
    <w:uiPriority w:val="0"/>
    <w:rPr>
      <w:rFonts w:ascii="楷体_GB2312" w:eastAsia="楷体_GB2312" w:cs="楷体_GB2312"/>
      <w:color w:val="000000"/>
      <w:sz w:val="20"/>
      <w:szCs w:val="20"/>
      <w:u w:val="none"/>
    </w:rPr>
  </w:style>
  <w:style w:type="character" w:customStyle="1" w:styleId="52">
    <w:name w:val="font11"/>
    <w:basedOn w:val="18"/>
    <w:qFormat/>
    <w:uiPriority w:val="0"/>
    <w:rPr>
      <w:rFonts w:hint="default" w:ascii="Times New Roman" w:hAnsi="Times New Roman" w:cs="Times New Roman"/>
      <w:color w:val="000000"/>
      <w:sz w:val="20"/>
      <w:szCs w:val="20"/>
      <w:u w:val="none"/>
    </w:rPr>
  </w:style>
  <w:style w:type="character" w:customStyle="1" w:styleId="53">
    <w:name w:val="font41"/>
    <w:basedOn w:val="18"/>
    <w:qFormat/>
    <w:uiPriority w:val="0"/>
    <w:rPr>
      <w:rFonts w:hint="eastAsia" w:ascii="楷体_GB2312" w:eastAsia="楷体_GB2312" w:cs="楷体_GB2312"/>
      <w:color w:val="000000"/>
      <w:sz w:val="22"/>
      <w:szCs w:val="22"/>
      <w:u w:val="none"/>
    </w:rPr>
  </w:style>
  <w:style w:type="character" w:customStyle="1" w:styleId="54">
    <w:name w:val="文档结构图 字符"/>
    <w:basedOn w:val="18"/>
    <w:link w:val="7"/>
    <w:semiHidden/>
    <w:qFormat/>
    <w:uiPriority w:val="99"/>
    <w:rPr>
      <w:rFonts w:ascii="宋体" w:hAnsiTheme="minorHAnsi" w:cstheme="minorBidi"/>
      <w:kern w:val="2"/>
      <w:sz w:val="18"/>
      <w:szCs w:val="18"/>
    </w:rPr>
  </w:style>
  <w:style w:type="character" w:customStyle="1" w:styleId="55">
    <w:name w:val="批注框文本 字符"/>
    <w:basedOn w:val="18"/>
    <w:link w:val="10"/>
    <w:semiHidden/>
    <w:qFormat/>
    <w:uiPriority w:val="99"/>
    <w:rPr>
      <w:rFonts w:asciiTheme="minorHAnsi" w:hAnsiTheme="minorHAnsi" w:eastAsiaTheme="minorEastAsia" w:cstheme="minorBidi"/>
      <w:kern w:val="2"/>
      <w:sz w:val="18"/>
      <w:szCs w:val="18"/>
    </w:rPr>
  </w:style>
  <w:style w:type="paragraph" w:customStyle="1" w:styleId="56">
    <w:name w:val="修订1"/>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57">
    <w:name w:val="正文标准"/>
    <w:basedOn w:val="1"/>
    <w:qFormat/>
    <w:uiPriority w:val="0"/>
    <w:pPr>
      <w:spacing w:line="360" w:lineRule="exact"/>
      <w:ind w:firstLine="200" w:firstLineChars="200"/>
    </w:pPr>
    <w:rPr>
      <w:rFonts w:ascii="Times New Roman" w:hAnsi="Times New Roman" w:eastAsia="宋体" w:cs="宋体"/>
      <w:szCs w:val="20"/>
    </w:rPr>
  </w:style>
  <w:style w:type="character" w:customStyle="1" w:styleId="58">
    <w:name w:val="段 Char"/>
    <w:link w:val="50"/>
    <w:qFormat/>
    <w:uiPriority w:val="0"/>
    <w:rPr>
      <w:rFonts w:ascii="宋体"/>
      <w:sz w:val="21"/>
    </w:rPr>
  </w:style>
  <w:style w:type="paragraph" w:customStyle="1" w:styleId="59">
    <w:name w:val="_Style 159"/>
    <w:basedOn w:val="1"/>
    <w:next w:val="45"/>
    <w:qFormat/>
    <w:uiPriority w:val="34"/>
    <w:pPr>
      <w:ind w:firstLine="420" w:firstLineChars="200"/>
    </w:pPr>
    <w:rPr>
      <w:rFonts w:ascii="Calibri" w:hAnsi="Calibri" w:eastAsia="宋体" w:cs="Times New Roman"/>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9" Type="http://schemas.openxmlformats.org/officeDocument/2006/relationships/fontTable" Target="fontTable.xml"/><Relationship Id="rId28" Type="http://schemas.openxmlformats.org/officeDocument/2006/relationships/customXml" Target="../customXml/item1.xml"/><Relationship Id="rId27" Type="http://schemas.openxmlformats.org/officeDocument/2006/relationships/numbering" Target="numbering.xml"/><Relationship Id="rId26" Type="http://schemas.openxmlformats.org/officeDocument/2006/relationships/image" Target="media/image10.wmf"/><Relationship Id="rId25" Type="http://schemas.openxmlformats.org/officeDocument/2006/relationships/oleObject" Target="embeddings/oleObject9.bin"/><Relationship Id="rId24" Type="http://schemas.openxmlformats.org/officeDocument/2006/relationships/image" Target="media/image9.wmf"/><Relationship Id="rId23" Type="http://schemas.openxmlformats.org/officeDocument/2006/relationships/oleObject" Target="embeddings/oleObject8.bin"/><Relationship Id="rId22" Type="http://schemas.openxmlformats.org/officeDocument/2006/relationships/image" Target="media/image8.wmf"/><Relationship Id="rId21" Type="http://schemas.openxmlformats.org/officeDocument/2006/relationships/oleObject" Target="embeddings/oleObject7.bin"/><Relationship Id="rId20" Type="http://schemas.openxmlformats.org/officeDocument/2006/relationships/image" Target="media/image7.w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6.png"/><Relationship Id="rId17" Type="http://schemas.openxmlformats.org/officeDocument/2006/relationships/image" Target="media/image5.wmf"/><Relationship Id="rId16" Type="http://schemas.openxmlformats.org/officeDocument/2006/relationships/oleObject" Target="embeddings/oleObject5.bin"/><Relationship Id="rId15" Type="http://schemas.openxmlformats.org/officeDocument/2006/relationships/image" Target="media/image4.wmf"/><Relationship Id="rId14" Type="http://schemas.openxmlformats.org/officeDocument/2006/relationships/oleObject" Target="embeddings/oleObject4.bin"/><Relationship Id="rId13" Type="http://schemas.openxmlformats.org/officeDocument/2006/relationships/image" Target="media/image3.wmf"/><Relationship Id="rId12" Type="http://schemas.openxmlformats.org/officeDocument/2006/relationships/oleObject" Target="embeddings/oleObject3.bin"/><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5AF3BC-E55D-495F-A0A8-14DA6B4E0695}">
  <ds:schemaRefs/>
</ds:datastoreItem>
</file>

<file path=docProps/app.xml><?xml version="1.0" encoding="utf-8"?>
<Properties xmlns="http://schemas.openxmlformats.org/officeDocument/2006/extended-properties" xmlns:vt="http://schemas.openxmlformats.org/officeDocument/2006/docPropsVTypes">
  <Template>Normal.dotm</Template>
  <Company>HP Inc.</Company>
  <Pages>34</Pages>
  <Words>5888</Words>
  <Characters>6473</Characters>
  <Lines>177</Lines>
  <Paragraphs>49</Paragraphs>
  <TotalTime>0</TotalTime>
  <ScaleCrop>false</ScaleCrop>
  <LinksUpToDate>false</LinksUpToDate>
  <CharactersWithSpaces>6653</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2022-07-02T04:41:00Z</dcterms:created>
  <dc:creator>张 岩</dc:creator>
  <cp:lastModifiedBy>牛牛</cp:lastModifiedBy>
  <cp:lastPrinted>2022-11-18T06:50:00Z</cp:lastPrinted>
  <dcterms:modified xsi:type="dcterms:W3CDTF">2024-12-10T01:29:20Z</dcterms:modified>
  <cp:revision>612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68E033CBEE064DFD93DE3FC9BCA01ED0_13</vt:lpwstr>
  </property>
</Properties>
</file>