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ascii="黑体" w:hAnsi="黑体" w:eastAsia="黑体"/>
          <w:b w:val="0"/>
          <w:sz w:val="28"/>
          <w:szCs w:val="28"/>
        </w:rPr>
      </w:pPr>
      <w:r>
        <w:rPr>
          <w:rFonts w:hint="eastAsia" w:ascii="黑体" w:hAnsi="黑体" w:eastAsia="黑体"/>
          <w:b w:val="0"/>
          <w:sz w:val="28"/>
          <w:szCs w:val="28"/>
        </w:rPr>
        <w:t>附件1</w:t>
      </w:r>
    </w:p>
    <w:p>
      <w:pPr>
        <w:spacing w:line="480" w:lineRule="exact"/>
        <w:jc w:val="center"/>
        <w:rPr>
          <w:rFonts w:ascii="Times New Roman" w:hAnsi="Times New Roman" w:eastAsia="仿宋_GB2312"/>
          <w:sz w:val="36"/>
          <w:szCs w:val="36"/>
        </w:rPr>
      </w:pPr>
      <w:bookmarkStart w:id="0" w:name="_GoBack"/>
      <w:r>
        <w:rPr>
          <w:rFonts w:hint="eastAsia" w:ascii="Times New Roman" w:hAnsi="Times New Roman" w:eastAsia="仿宋_GB2312"/>
          <w:sz w:val="36"/>
          <w:szCs w:val="36"/>
        </w:rPr>
        <w:t>各产品统计要求</w:t>
      </w:r>
    </w:p>
    <w:bookmarkEnd w:id="0"/>
    <w:p>
      <w:pPr>
        <w:spacing w:line="480" w:lineRule="exact"/>
        <w:jc w:val="center"/>
        <w:rPr>
          <w:rFonts w:ascii="Times New Roman" w:hAnsi="Times New Roman"/>
          <w:sz w:val="36"/>
          <w:szCs w:val="36"/>
        </w:rPr>
      </w:pPr>
    </w:p>
    <w:p>
      <w:pPr>
        <w:spacing w:line="480" w:lineRule="exact"/>
        <w:ind w:firstLine="594" w:firstLineChars="198"/>
        <w:rPr>
          <w:rFonts w:ascii="Times New Roman" w:hAnsi="Times New Roman" w:eastAsia="黑体"/>
          <w:b w:val="0"/>
          <w:sz w:val="30"/>
          <w:szCs w:val="30"/>
        </w:rPr>
      </w:pPr>
      <w:r>
        <w:rPr>
          <w:rFonts w:hint="eastAsia" w:ascii="Times New Roman" w:hAnsi="Times New Roman" w:eastAsia="黑体"/>
          <w:b w:val="0"/>
          <w:sz w:val="30"/>
          <w:szCs w:val="30"/>
        </w:rPr>
        <w:t>一、原油加工</w:t>
      </w:r>
    </w:p>
    <w:p>
      <w:pPr>
        <w:spacing w:line="480" w:lineRule="exact"/>
        <w:ind w:firstLine="600" w:firstLineChars="200"/>
        <w:rPr>
          <w:rFonts w:ascii="Times New Roman" w:hAnsi="Times New Roman" w:eastAsia="仿宋"/>
          <w:b w:val="0"/>
          <w:sz w:val="30"/>
          <w:szCs w:val="30"/>
        </w:rPr>
      </w:pPr>
      <w:r>
        <w:rPr>
          <w:rFonts w:hint="eastAsia" w:ascii="Times New Roman" w:hAnsi="Times New Roman" w:eastAsia="仿宋"/>
          <w:b w:val="0"/>
          <w:sz w:val="30"/>
          <w:szCs w:val="30"/>
        </w:rPr>
        <w:t>统计生产企业报告期内吨原油加工单位能量因数耗能和用电量（见表1）。统计范围和计算方法按照国标《炼油单位产品能源消耗限额》（GB 30251）。企业排名以单位能量因数耗能为主要参考指标进行。</w:t>
      </w:r>
    </w:p>
    <w:p>
      <w:pPr>
        <w:jc w:val="center"/>
        <w:rPr>
          <w:rFonts w:ascii="Times New Roman" w:hAnsi="Times New Roman" w:eastAsia="仿宋"/>
          <w:b w:val="0"/>
          <w:sz w:val="24"/>
          <w:szCs w:val="24"/>
        </w:rPr>
      </w:pPr>
      <w:r>
        <w:rPr>
          <w:rFonts w:hint="eastAsia" w:ascii="Times New Roman" w:hAnsi="Times New Roman" w:eastAsia="仿宋"/>
          <w:b w:val="0"/>
          <w:sz w:val="24"/>
          <w:szCs w:val="24"/>
        </w:rPr>
        <w:t>表1 原油加工单位能量因数耗能和用电量统计表</w:t>
      </w:r>
    </w:p>
    <w:p>
      <w:pPr>
        <w:rPr>
          <w:rFonts w:ascii="Times New Roman" w:hAnsi="Times New Roman" w:eastAsia="仿宋"/>
          <w:b w:val="0"/>
          <w:sz w:val="24"/>
          <w:szCs w:val="24"/>
        </w:rPr>
      </w:pPr>
      <w:r>
        <w:rPr>
          <w:rFonts w:hint="eastAsia" w:ascii="Times New Roman" w:hAnsi="Times New Roman" w:eastAsia="仿宋"/>
          <w:b w:val="0"/>
          <w:sz w:val="24"/>
          <w:szCs w:val="24"/>
        </w:rPr>
        <w:t>单位：</w:t>
      </w:r>
      <w:r>
        <w:rPr>
          <w:rFonts w:hint="eastAsia" w:ascii="Times New Roman" w:hAnsi="Times New Roman" w:eastAsia="仿宋"/>
          <w:b w:val="0"/>
          <w:sz w:val="24"/>
          <w:szCs w:val="24"/>
          <w:u w:val="single"/>
        </w:rPr>
        <w:t xml:space="preserve">×××企业      </w:t>
      </w:r>
      <w:r>
        <w:rPr>
          <w:rFonts w:hint="eastAsia" w:ascii="Times New Roman" w:hAnsi="Times New Roman" w:eastAsia="仿宋"/>
          <w:b w:val="0"/>
          <w:sz w:val="24"/>
          <w:szCs w:val="24"/>
        </w:rPr>
        <w:t>产能： 报告期：2022年1月1日—12月31日</w:t>
      </w:r>
    </w:p>
    <w:tbl>
      <w:tblPr>
        <w:tblStyle w:val="4"/>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700"/>
        <w:gridCol w:w="2520"/>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行业</w:t>
            </w:r>
          </w:p>
        </w:tc>
        <w:tc>
          <w:tcPr>
            <w:tcW w:w="2700"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单位能量因数耗能</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（千克标油</w:t>
            </w:r>
            <w:r>
              <w:rPr>
                <w:rFonts w:ascii="Times New Roman" w:hAnsi="Times New Roman" w:eastAsia="仿宋"/>
                <w:b w:val="0"/>
                <w:sz w:val="24"/>
                <w:szCs w:val="24"/>
              </w:rPr>
              <w:t>/吨·因数</w:t>
            </w:r>
            <w:r>
              <w:rPr>
                <w:rFonts w:hint="eastAsia" w:ascii="Times New Roman" w:hAnsi="Times New Roman" w:eastAsia="仿宋"/>
                <w:b w:val="0"/>
                <w:sz w:val="24"/>
                <w:szCs w:val="24"/>
              </w:rPr>
              <w:t>）</w:t>
            </w:r>
          </w:p>
        </w:tc>
        <w:tc>
          <w:tcPr>
            <w:tcW w:w="2520"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吨原油加工量电耗</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（千瓦时）</w:t>
            </w:r>
          </w:p>
        </w:tc>
        <w:tc>
          <w:tcPr>
            <w:tcW w:w="1512"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原油加工</w:t>
            </w:r>
          </w:p>
        </w:tc>
        <w:tc>
          <w:tcPr>
            <w:tcW w:w="2700" w:type="dxa"/>
            <w:vAlign w:val="center"/>
          </w:tcPr>
          <w:p>
            <w:pPr>
              <w:jc w:val="center"/>
              <w:rPr>
                <w:rFonts w:ascii="Times New Roman" w:hAnsi="Times New Roman" w:eastAsia="仿宋"/>
                <w:b w:val="0"/>
                <w:sz w:val="24"/>
                <w:szCs w:val="24"/>
              </w:rPr>
            </w:pPr>
          </w:p>
        </w:tc>
        <w:tc>
          <w:tcPr>
            <w:tcW w:w="2520" w:type="dxa"/>
            <w:vAlign w:val="center"/>
          </w:tcPr>
          <w:p>
            <w:pPr>
              <w:jc w:val="center"/>
              <w:rPr>
                <w:rFonts w:ascii="Times New Roman" w:hAnsi="Times New Roman" w:eastAsia="仿宋"/>
                <w:b w:val="0"/>
                <w:sz w:val="24"/>
                <w:szCs w:val="24"/>
              </w:rPr>
            </w:pPr>
          </w:p>
        </w:tc>
        <w:tc>
          <w:tcPr>
            <w:tcW w:w="1512" w:type="dxa"/>
            <w:vAlign w:val="center"/>
          </w:tcPr>
          <w:p>
            <w:pPr>
              <w:jc w:val="center"/>
              <w:rPr>
                <w:rFonts w:ascii="Times New Roman" w:hAnsi="Times New Roman" w:eastAsia="仿宋"/>
                <w:b w:val="0"/>
                <w:sz w:val="24"/>
                <w:szCs w:val="24"/>
              </w:rPr>
            </w:pPr>
          </w:p>
          <w:p>
            <w:pPr>
              <w:jc w:val="center"/>
              <w:rPr>
                <w:rFonts w:ascii="Times New Roman" w:hAnsi="Times New Roman" w:eastAsia="仿宋"/>
                <w:b w:val="0"/>
                <w:sz w:val="24"/>
                <w:szCs w:val="24"/>
              </w:rPr>
            </w:pPr>
          </w:p>
        </w:tc>
      </w:tr>
    </w:tbl>
    <w:p>
      <w:pPr>
        <w:rPr>
          <w:rFonts w:ascii="Times New Roman" w:hAnsi="Times New Roman" w:eastAsia="仿宋"/>
          <w:b w:val="0"/>
          <w:sz w:val="24"/>
          <w:szCs w:val="24"/>
          <w:u w:val="single"/>
        </w:rPr>
      </w:pPr>
      <w:r>
        <w:rPr>
          <w:rFonts w:hint="eastAsia" w:ascii="Times New Roman" w:hAnsi="Times New Roman" w:eastAsia="仿宋"/>
          <w:b w:val="0"/>
          <w:sz w:val="24"/>
          <w:szCs w:val="24"/>
        </w:rPr>
        <w:t>填报人：   联系电话：   填报日期：</w:t>
      </w:r>
    </w:p>
    <w:p>
      <w:pPr>
        <w:spacing w:line="480" w:lineRule="exact"/>
        <w:ind w:firstLine="600" w:firstLineChars="200"/>
        <w:rPr>
          <w:rFonts w:ascii="Times New Roman" w:hAnsi="Times New Roman" w:eastAsia="黑体"/>
          <w:b w:val="0"/>
          <w:sz w:val="30"/>
          <w:szCs w:val="30"/>
        </w:rPr>
      </w:pPr>
    </w:p>
    <w:p>
      <w:pPr>
        <w:spacing w:line="480" w:lineRule="exact"/>
        <w:ind w:firstLine="600" w:firstLineChars="200"/>
        <w:rPr>
          <w:rFonts w:ascii="Times New Roman" w:hAnsi="Times New Roman" w:eastAsia="黑体"/>
          <w:b w:val="0"/>
          <w:sz w:val="30"/>
          <w:szCs w:val="30"/>
        </w:rPr>
      </w:pPr>
      <w:r>
        <w:rPr>
          <w:rFonts w:hint="eastAsia" w:ascii="Times New Roman" w:hAnsi="Times New Roman" w:eastAsia="黑体"/>
          <w:b w:val="0"/>
          <w:sz w:val="30"/>
          <w:szCs w:val="30"/>
        </w:rPr>
        <w:t>二、乙烯</w:t>
      </w:r>
    </w:p>
    <w:p>
      <w:pPr>
        <w:spacing w:line="480" w:lineRule="exact"/>
        <w:ind w:firstLine="600" w:firstLineChars="200"/>
        <w:rPr>
          <w:rFonts w:ascii="Times New Roman" w:hAnsi="Times New Roman" w:eastAsia="仿宋"/>
          <w:b w:val="0"/>
          <w:sz w:val="30"/>
          <w:szCs w:val="30"/>
        </w:rPr>
      </w:pPr>
      <w:r>
        <w:rPr>
          <w:rFonts w:hint="eastAsia" w:ascii="Times New Roman" w:hAnsi="Times New Roman" w:eastAsia="仿宋"/>
          <w:b w:val="0"/>
          <w:sz w:val="30"/>
          <w:szCs w:val="30"/>
        </w:rPr>
        <w:t>统计生产企业报告期内吨乙烯产品综合能源消耗量和用电量（见表2）。统计范围和计算方法</w:t>
      </w:r>
      <w:r>
        <w:rPr>
          <w:rFonts w:hint="eastAsia" w:ascii="Times New Roman" w:hAnsi="Times New Roman" w:eastAsia="仿宋"/>
          <w:b w:val="0"/>
          <w:sz w:val="28"/>
          <w:szCs w:val="28"/>
        </w:rPr>
        <w:t>按照《</w:t>
      </w:r>
      <w:r>
        <w:rPr>
          <w:rFonts w:hint="eastAsia" w:ascii="Times New Roman" w:hAnsi="Times New Roman" w:eastAsia="仿宋"/>
          <w:b w:val="0"/>
          <w:sz w:val="30"/>
          <w:szCs w:val="30"/>
        </w:rPr>
        <w:t>乙烯装置单位产品能源消耗限额</w:t>
      </w:r>
      <w:r>
        <w:rPr>
          <w:rFonts w:hint="eastAsia" w:ascii="Times New Roman" w:hAnsi="Times New Roman" w:eastAsia="仿宋"/>
          <w:b w:val="0"/>
          <w:sz w:val="28"/>
          <w:szCs w:val="28"/>
        </w:rPr>
        <w:t>》（</w:t>
      </w:r>
      <w:r>
        <w:rPr>
          <w:rFonts w:hint="eastAsia" w:ascii="Times New Roman" w:hAnsi="Times New Roman" w:eastAsia="仿宋"/>
          <w:b w:val="0"/>
          <w:sz w:val="30"/>
          <w:szCs w:val="30"/>
        </w:rPr>
        <w:t>GB 30250）</w:t>
      </w:r>
      <w:r>
        <w:rPr>
          <w:rFonts w:hint="eastAsia" w:ascii="Times New Roman" w:hAnsi="Times New Roman" w:eastAsia="仿宋"/>
          <w:b w:val="0"/>
          <w:sz w:val="28"/>
          <w:szCs w:val="28"/>
        </w:rPr>
        <w:t>。</w:t>
      </w:r>
      <w:r>
        <w:rPr>
          <w:rFonts w:hint="eastAsia" w:ascii="Times New Roman" w:hAnsi="Times New Roman" w:eastAsia="仿宋"/>
          <w:b w:val="0"/>
          <w:sz w:val="30"/>
          <w:szCs w:val="30"/>
        </w:rPr>
        <w:t>企业排名以单位产品综合能耗为主要参考指标进行。</w:t>
      </w:r>
    </w:p>
    <w:p>
      <w:pPr>
        <w:jc w:val="center"/>
        <w:rPr>
          <w:rFonts w:ascii="Times New Roman" w:hAnsi="Times New Roman" w:eastAsia="仿宋"/>
          <w:b w:val="0"/>
          <w:sz w:val="24"/>
          <w:szCs w:val="24"/>
        </w:rPr>
      </w:pPr>
      <w:r>
        <w:rPr>
          <w:rFonts w:hint="eastAsia" w:ascii="Times New Roman" w:hAnsi="Times New Roman" w:eastAsia="仿宋"/>
          <w:b w:val="0"/>
          <w:sz w:val="24"/>
          <w:szCs w:val="24"/>
        </w:rPr>
        <w:t>表2 乙烯综合能源消耗量和用电量统计表</w:t>
      </w:r>
    </w:p>
    <w:p>
      <w:pPr>
        <w:rPr>
          <w:rFonts w:ascii="Times New Roman" w:hAnsi="Times New Roman" w:eastAsia="仿宋"/>
          <w:b w:val="0"/>
          <w:sz w:val="24"/>
          <w:szCs w:val="24"/>
        </w:rPr>
      </w:pPr>
      <w:r>
        <w:rPr>
          <w:rFonts w:hint="eastAsia" w:ascii="Times New Roman" w:hAnsi="Times New Roman" w:eastAsia="仿宋"/>
          <w:b w:val="0"/>
          <w:sz w:val="24"/>
          <w:szCs w:val="24"/>
        </w:rPr>
        <w:t>单位：</w:t>
      </w:r>
      <w:r>
        <w:rPr>
          <w:rFonts w:hint="eastAsia" w:ascii="Times New Roman" w:hAnsi="Times New Roman" w:eastAsia="仿宋"/>
          <w:b w:val="0"/>
          <w:sz w:val="24"/>
          <w:szCs w:val="24"/>
          <w:u w:val="single"/>
        </w:rPr>
        <w:t xml:space="preserve">×××企业          </w:t>
      </w:r>
      <w:r>
        <w:rPr>
          <w:rFonts w:hint="eastAsia" w:ascii="Times New Roman" w:hAnsi="Times New Roman" w:eastAsia="仿宋"/>
          <w:b w:val="0"/>
          <w:sz w:val="24"/>
          <w:szCs w:val="24"/>
        </w:rPr>
        <w:t xml:space="preserve">         报告期：2022年1月1日—12月31日</w:t>
      </w:r>
    </w:p>
    <w:tbl>
      <w:tblPr>
        <w:tblStyle w:val="4"/>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700"/>
        <w:gridCol w:w="2520"/>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产品</w:t>
            </w:r>
          </w:p>
        </w:tc>
        <w:tc>
          <w:tcPr>
            <w:tcW w:w="2700"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单位乙烯综合能耗</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（千克标油</w:t>
            </w:r>
            <w:r>
              <w:rPr>
                <w:rFonts w:ascii="Times New Roman" w:hAnsi="Times New Roman" w:eastAsia="仿宋"/>
                <w:b w:val="0"/>
                <w:sz w:val="24"/>
                <w:szCs w:val="24"/>
              </w:rPr>
              <w:t>/吨</w:t>
            </w:r>
            <w:r>
              <w:rPr>
                <w:rFonts w:hint="eastAsia" w:ascii="Times New Roman" w:hAnsi="Times New Roman" w:eastAsia="仿宋"/>
                <w:b w:val="0"/>
                <w:sz w:val="24"/>
                <w:szCs w:val="24"/>
              </w:rPr>
              <w:t>）</w:t>
            </w:r>
          </w:p>
        </w:tc>
        <w:tc>
          <w:tcPr>
            <w:tcW w:w="2520"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单位乙烯电耗</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（千瓦时/吨）</w:t>
            </w:r>
          </w:p>
        </w:tc>
        <w:tc>
          <w:tcPr>
            <w:tcW w:w="1512"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以石脑油为主要原料制乙烯</w:t>
            </w:r>
          </w:p>
        </w:tc>
        <w:tc>
          <w:tcPr>
            <w:tcW w:w="2700" w:type="dxa"/>
            <w:vAlign w:val="center"/>
          </w:tcPr>
          <w:p>
            <w:pPr>
              <w:jc w:val="center"/>
              <w:rPr>
                <w:rFonts w:ascii="Times New Roman" w:hAnsi="Times New Roman" w:eastAsia="仿宋"/>
                <w:b w:val="0"/>
                <w:sz w:val="24"/>
                <w:szCs w:val="24"/>
              </w:rPr>
            </w:pPr>
          </w:p>
        </w:tc>
        <w:tc>
          <w:tcPr>
            <w:tcW w:w="2520" w:type="dxa"/>
            <w:vAlign w:val="center"/>
          </w:tcPr>
          <w:p>
            <w:pPr>
              <w:jc w:val="center"/>
              <w:rPr>
                <w:rFonts w:ascii="Times New Roman" w:hAnsi="Times New Roman" w:eastAsia="仿宋"/>
                <w:b w:val="0"/>
                <w:sz w:val="24"/>
                <w:szCs w:val="24"/>
              </w:rPr>
            </w:pPr>
          </w:p>
        </w:tc>
        <w:tc>
          <w:tcPr>
            <w:tcW w:w="1512" w:type="dxa"/>
            <w:vAlign w:val="center"/>
          </w:tcPr>
          <w:p>
            <w:pPr>
              <w:jc w:val="center"/>
              <w:rPr>
                <w:rFonts w:ascii="Times New Roman" w:hAnsi="Times New Roman" w:eastAsia="仿宋"/>
                <w:b w:val="0"/>
                <w:sz w:val="24"/>
                <w:szCs w:val="24"/>
              </w:rPr>
            </w:pPr>
          </w:p>
          <w:p>
            <w:pPr>
              <w:jc w:val="center"/>
              <w:rPr>
                <w:rFonts w:ascii="Times New Roman" w:hAnsi="Times New Roman" w:eastAsia="仿宋"/>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26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以乙烷为原料制乙烯</w:t>
            </w:r>
          </w:p>
        </w:tc>
        <w:tc>
          <w:tcPr>
            <w:tcW w:w="2700" w:type="dxa"/>
            <w:vAlign w:val="center"/>
          </w:tcPr>
          <w:p>
            <w:pPr>
              <w:jc w:val="center"/>
              <w:rPr>
                <w:rFonts w:ascii="Times New Roman" w:hAnsi="Times New Roman" w:eastAsia="仿宋"/>
                <w:b w:val="0"/>
                <w:sz w:val="24"/>
                <w:szCs w:val="24"/>
              </w:rPr>
            </w:pPr>
          </w:p>
        </w:tc>
        <w:tc>
          <w:tcPr>
            <w:tcW w:w="2520" w:type="dxa"/>
            <w:vAlign w:val="center"/>
          </w:tcPr>
          <w:p>
            <w:pPr>
              <w:jc w:val="center"/>
              <w:rPr>
                <w:rFonts w:ascii="Times New Roman" w:hAnsi="Times New Roman" w:eastAsia="仿宋"/>
                <w:b w:val="0"/>
                <w:sz w:val="24"/>
                <w:szCs w:val="24"/>
              </w:rPr>
            </w:pPr>
          </w:p>
        </w:tc>
        <w:tc>
          <w:tcPr>
            <w:tcW w:w="1512" w:type="dxa"/>
            <w:vAlign w:val="center"/>
          </w:tcPr>
          <w:p>
            <w:pPr>
              <w:jc w:val="center"/>
              <w:rPr>
                <w:rFonts w:ascii="Times New Roman" w:hAnsi="Times New Roman" w:eastAsia="仿宋"/>
                <w:b w:val="0"/>
                <w:sz w:val="24"/>
                <w:szCs w:val="24"/>
              </w:rPr>
            </w:pPr>
          </w:p>
        </w:tc>
      </w:tr>
    </w:tbl>
    <w:p>
      <w:pPr>
        <w:rPr>
          <w:rFonts w:ascii="Times New Roman" w:hAnsi="Times New Roman" w:eastAsia="仿宋"/>
          <w:b w:val="0"/>
          <w:sz w:val="24"/>
          <w:szCs w:val="24"/>
          <w:u w:val="single"/>
        </w:rPr>
      </w:pPr>
      <w:r>
        <w:rPr>
          <w:rFonts w:hint="eastAsia" w:ascii="Times New Roman" w:hAnsi="Times New Roman" w:eastAsia="仿宋"/>
          <w:b w:val="0"/>
          <w:sz w:val="24"/>
          <w:szCs w:val="24"/>
        </w:rPr>
        <w:t>填报人：   联系电话：   填报日期：</w:t>
      </w:r>
    </w:p>
    <w:p>
      <w:pPr>
        <w:spacing w:line="480" w:lineRule="exact"/>
        <w:ind w:firstLine="594" w:firstLineChars="198"/>
        <w:rPr>
          <w:rFonts w:ascii="Times New Roman" w:hAnsi="Times New Roman" w:eastAsia="黑体"/>
          <w:b w:val="0"/>
          <w:sz w:val="30"/>
          <w:szCs w:val="30"/>
        </w:rPr>
      </w:pPr>
    </w:p>
    <w:p>
      <w:pPr>
        <w:spacing w:line="480" w:lineRule="exact"/>
        <w:ind w:firstLine="594" w:firstLineChars="198"/>
        <w:rPr>
          <w:rFonts w:ascii="Times New Roman" w:hAnsi="Times New Roman" w:eastAsia="黑体"/>
          <w:b w:val="0"/>
          <w:sz w:val="30"/>
          <w:szCs w:val="30"/>
        </w:rPr>
      </w:pPr>
      <w:r>
        <w:rPr>
          <w:rFonts w:hint="eastAsia" w:ascii="Times New Roman" w:hAnsi="Times New Roman" w:eastAsia="黑体"/>
          <w:b w:val="0"/>
          <w:sz w:val="30"/>
          <w:szCs w:val="30"/>
        </w:rPr>
        <w:t>三、对二甲苯</w:t>
      </w:r>
    </w:p>
    <w:p>
      <w:pPr>
        <w:spacing w:line="480" w:lineRule="exact"/>
        <w:ind w:firstLine="600" w:firstLineChars="200"/>
        <w:rPr>
          <w:rFonts w:ascii="Times New Roman" w:hAnsi="Times New Roman" w:eastAsia="仿宋"/>
          <w:b w:val="0"/>
          <w:sz w:val="30"/>
          <w:szCs w:val="30"/>
        </w:rPr>
      </w:pPr>
      <w:r>
        <w:rPr>
          <w:rFonts w:hint="eastAsia" w:ascii="Times New Roman" w:hAnsi="Times New Roman" w:eastAsia="仿宋"/>
          <w:b w:val="0"/>
          <w:sz w:val="30"/>
          <w:szCs w:val="30"/>
        </w:rPr>
        <w:t>统计生产企业报告期内吨对二甲苯产品综合能源消耗量和用电量（见表3）。统计范围和计算方法</w:t>
      </w:r>
      <w:r>
        <w:rPr>
          <w:rFonts w:hint="eastAsia" w:ascii="Times New Roman" w:hAnsi="Times New Roman" w:eastAsia="仿宋"/>
          <w:b w:val="0"/>
          <w:sz w:val="28"/>
          <w:szCs w:val="28"/>
        </w:rPr>
        <w:t>按照《</w:t>
      </w:r>
      <w:r>
        <w:rPr>
          <w:rFonts w:hint="eastAsia" w:ascii="Times New Roman" w:hAnsi="Times New Roman" w:eastAsia="仿宋"/>
          <w:b w:val="0"/>
          <w:sz w:val="30"/>
          <w:szCs w:val="30"/>
        </w:rPr>
        <w:t>对二甲苯单位产品能源消耗限额</w:t>
      </w:r>
      <w:r>
        <w:rPr>
          <w:rFonts w:hint="eastAsia" w:ascii="Times New Roman" w:hAnsi="Times New Roman" w:eastAsia="仿宋"/>
          <w:b w:val="0"/>
          <w:sz w:val="28"/>
          <w:szCs w:val="28"/>
        </w:rPr>
        <w:t>》（</w:t>
      </w:r>
      <w:r>
        <w:rPr>
          <w:rFonts w:ascii="Times New Roman" w:hAnsi="Times New Roman" w:eastAsia="仿宋"/>
          <w:b w:val="0"/>
          <w:sz w:val="30"/>
          <w:szCs w:val="30"/>
        </w:rPr>
        <w:t>GB 31534</w:t>
      </w:r>
      <w:r>
        <w:rPr>
          <w:rFonts w:hint="eastAsia" w:ascii="Times New Roman" w:hAnsi="Times New Roman" w:eastAsia="仿宋"/>
          <w:b w:val="0"/>
          <w:sz w:val="30"/>
          <w:szCs w:val="30"/>
        </w:rPr>
        <w:t>）</w:t>
      </w:r>
      <w:r>
        <w:rPr>
          <w:rFonts w:hint="eastAsia" w:ascii="Times New Roman" w:hAnsi="Times New Roman" w:eastAsia="仿宋"/>
          <w:b w:val="0"/>
          <w:sz w:val="28"/>
          <w:szCs w:val="28"/>
        </w:rPr>
        <w:t>。</w:t>
      </w:r>
      <w:r>
        <w:rPr>
          <w:rFonts w:hint="eastAsia" w:ascii="Times New Roman" w:hAnsi="Times New Roman" w:eastAsia="仿宋"/>
          <w:b w:val="0"/>
          <w:sz w:val="30"/>
          <w:szCs w:val="30"/>
        </w:rPr>
        <w:t>企业排名以单位产品综合能耗为主要参考指标进行。</w:t>
      </w:r>
    </w:p>
    <w:p>
      <w:pPr>
        <w:jc w:val="center"/>
        <w:rPr>
          <w:rFonts w:ascii="Times New Roman" w:hAnsi="Times New Roman" w:eastAsia="仿宋"/>
          <w:b w:val="0"/>
          <w:sz w:val="24"/>
          <w:szCs w:val="24"/>
        </w:rPr>
      </w:pPr>
      <w:r>
        <w:rPr>
          <w:rFonts w:hint="eastAsia" w:ascii="Times New Roman" w:hAnsi="Times New Roman" w:eastAsia="仿宋"/>
          <w:b w:val="0"/>
          <w:sz w:val="24"/>
          <w:szCs w:val="24"/>
        </w:rPr>
        <w:t>表3对二甲苯综合能源消耗量和用电量统计表</w:t>
      </w:r>
    </w:p>
    <w:p>
      <w:pPr>
        <w:rPr>
          <w:rFonts w:ascii="Times New Roman" w:hAnsi="Times New Roman" w:eastAsia="仿宋"/>
          <w:b w:val="0"/>
          <w:sz w:val="24"/>
          <w:szCs w:val="24"/>
        </w:rPr>
      </w:pPr>
      <w:r>
        <w:rPr>
          <w:rFonts w:hint="eastAsia" w:ascii="Times New Roman" w:hAnsi="Times New Roman" w:eastAsia="仿宋"/>
          <w:b w:val="0"/>
          <w:sz w:val="24"/>
          <w:szCs w:val="24"/>
        </w:rPr>
        <w:t>单位：</w:t>
      </w:r>
      <w:r>
        <w:rPr>
          <w:rFonts w:hint="eastAsia" w:ascii="Times New Roman" w:hAnsi="Times New Roman" w:eastAsia="仿宋"/>
          <w:b w:val="0"/>
          <w:sz w:val="24"/>
          <w:szCs w:val="24"/>
          <w:u w:val="single"/>
        </w:rPr>
        <w:t xml:space="preserve">×××企业          </w:t>
      </w:r>
      <w:r>
        <w:rPr>
          <w:rFonts w:hint="eastAsia" w:ascii="Times New Roman" w:hAnsi="Times New Roman" w:eastAsia="仿宋"/>
          <w:b w:val="0"/>
          <w:sz w:val="24"/>
          <w:szCs w:val="24"/>
        </w:rPr>
        <w:t xml:space="preserve">         报告期：2022年1月1日—12月31日</w:t>
      </w:r>
    </w:p>
    <w:tbl>
      <w:tblPr>
        <w:tblStyle w:val="4"/>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700"/>
        <w:gridCol w:w="2520"/>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产品</w:t>
            </w:r>
          </w:p>
        </w:tc>
        <w:tc>
          <w:tcPr>
            <w:tcW w:w="2700"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吨对二甲苯综合能耗</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（千克标准油）</w:t>
            </w:r>
          </w:p>
        </w:tc>
        <w:tc>
          <w:tcPr>
            <w:tcW w:w="2520"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吨对二甲苯电耗</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（千瓦时）</w:t>
            </w:r>
          </w:p>
        </w:tc>
        <w:tc>
          <w:tcPr>
            <w:tcW w:w="1512"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对二甲苯</w:t>
            </w:r>
          </w:p>
        </w:tc>
        <w:tc>
          <w:tcPr>
            <w:tcW w:w="2700" w:type="dxa"/>
            <w:vAlign w:val="center"/>
          </w:tcPr>
          <w:p>
            <w:pPr>
              <w:jc w:val="center"/>
              <w:rPr>
                <w:rFonts w:ascii="Times New Roman" w:hAnsi="Times New Roman" w:eastAsia="仿宋"/>
                <w:b w:val="0"/>
                <w:sz w:val="24"/>
                <w:szCs w:val="24"/>
              </w:rPr>
            </w:pPr>
          </w:p>
        </w:tc>
        <w:tc>
          <w:tcPr>
            <w:tcW w:w="2520" w:type="dxa"/>
            <w:vAlign w:val="center"/>
          </w:tcPr>
          <w:p>
            <w:pPr>
              <w:jc w:val="center"/>
              <w:rPr>
                <w:rFonts w:ascii="Times New Roman" w:hAnsi="Times New Roman" w:eastAsia="仿宋"/>
                <w:b w:val="0"/>
                <w:sz w:val="24"/>
                <w:szCs w:val="24"/>
              </w:rPr>
            </w:pPr>
          </w:p>
        </w:tc>
        <w:tc>
          <w:tcPr>
            <w:tcW w:w="1512" w:type="dxa"/>
            <w:vAlign w:val="center"/>
          </w:tcPr>
          <w:p>
            <w:pPr>
              <w:jc w:val="center"/>
              <w:rPr>
                <w:rFonts w:ascii="Times New Roman" w:hAnsi="Times New Roman" w:eastAsia="仿宋"/>
                <w:b w:val="0"/>
                <w:sz w:val="24"/>
                <w:szCs w:val="24"/>
              </w:rPr>
            </w:pPr>
          </w:p>
          <w:p>
            <w:pPr>
              <w:jc w:val="center"/>
              <w:rPr>
                <w:rFonts w:ascii="Times New Roman" w:hAnsi="Times New Roman" w:eastAsia="仿宋"/>
                <w:b w:val="0"/>
                <w:sz w:val="24"/>
                <w:szCs w:val="24"/>
              </w:rPr>
            </w:pPr>
          </w:p>
        </w:tc>
      </w:tr>
    </w:tbl>
    <w:p>
      <w:pPr>
        <w:rPr>
          <w:rFonts w:ascii="Times New Roman" w:hAnsi="Times New Roman" w:eastAsia="仿宋"/>
          <w:b w:val="0"/>
          <w:sz w:val="24"/>
          <w:szCs w:val="24"/>
          <w:u w:val="single"/>
        </w:rPr>
      </w:pPr>
      <w:r>
        <w:rPr>
          <w:rFonts w:hint="eastAsia" w:ascii="Times New Roman" w:hAnsi="Times New Roman" w:eastAsia="仿宋"/>
          <w:b w:val="0"/>
          <w:sz w:val="24"/>
          <w:szCs w:val="24"/>
        </w:rPr>
        <w:t>填报人：   联系电话：   填报日期：</w:t>
      </w:r>
    </w:p>
    <w:p>
      <w:pPr>
        <w:spacing w:line="480" w:lineRule="exact"/>
        <w:ind w:firstLine="594" w:firstLineChars="198"/>
        <w:rPr>
          <w:rFonts w:ascii="Times New Roman" w:hAnsi="Times New Roman" w:eastAsia="黑体"/>
          <w:b w:val="0"/>
          <w:sz w:val="30"/>
          <w:szCs w:val="30"/>
        </w:rPr>
      </w:pPr>
    </w:p>
    <w:p>
      <w:pPr>
        <w:spacing w:line="480" w:lineRule="exact"/>
        <w:ind w:firstLine="594" w:firstLineChars="198"/>
        <w:rPr>
          <w:rFonts w:ascii="Times New Roman" w:hAnsi="Times New Roman" w:eastAsia="黑体"/>
          <w:b w:val="0"/>
          <w:sz w:val="30"/>
          <w:szCs w:val="30"/>
        </w:rPr>
      </w:pPr>
      <w:r>
        <w:rPr>
          <w:rFonts w:hint="eastAsia" w:ascii="Times New Roman" w:hAnsi="Times New Roman" w:eastAsia="黑体"/>
          <w:b w:val="0"/>
          <w:sz w:val="30"/>
          <w:szCs w:val="30"/>
        </w:rPr>
        <w:t>四、精对苯二甲酸</w:t>
      </w:r>
    </w:p>
    <w:p>
      <w:pPr>
        <w:spacing w:line="480" w:lineRule="exact"/>
        <w:ind w:firstLine="600" w:firstLineChars="200"/>
        <w:rPr>
          <w:rFonts w:ascii="Times New Roman" w:hAnsi="Times New Roman" w:eastAsia="仿宋"/>
          <w:b w:val="0"/>
          <w:sz w:val="30"/>
          <w:szCs w:val="30"/>
        </w:rPr>
      </w:pPr>
      <w:r>
        <w:rPr>
          <w:rFonts w:hint="eastAsia" w:ascii="Times New Roman" w:hAnsi="Times New Roman" w:eastAsia="仿宋"/>
          <w:b w:val="0"/>
          <w:sz w:val="30"/>
          <w:szCs w:val="30"/>
        </w:rPr>
        <w:t>统计生产企业报告期内吨精对苯二甲酸产品综合能源消耗量和用电量（见表4）。统计范围和计算方法</w:t>
      </w:r>
      <w:r>
        <w:rPr>
          <w:rFonts w:hint="eastAsia" w:ascii="Times New Roman" w:hAnsi="Times New Roman" w:eastAsia="仿宋"/>
          <w:b w:val="0"/>
          <w:sz w:val="28"/>
          <w:szCs w:val="28"/>
        </w:rPr>
        <w:t>按照《</w:t>
      </w:r>
      <w:r>
        <w:rPr>
          <w:rFonts w:hint="eastAsia" w:ascii="Times New Roman" w:hAnsi="Times New Roman" w:eastAsia="仿宋"/>
          <w:b w:val="0"/>
          <w:sz w:val="30"/>
          <w:szCs w:val="30"/>
        </w:rPr>
        <w:t>精对苯二甲酸单位产品能源消耗限额</w:t>
      </w:r>
      <w:r>
        <w:rPr>
          <w:rFonts w:hint="eastAsia" w:ascii="Times New Roman" w:hAnsi="Times New Roman" w:eastAsia="仿宋"/>
          <w:b w:val="0"/>
          <w:sz w:val="28"/>
          <w:szCs w:val="28"/>
        </w:rPr>
        <w:t>》（</w:t>
      </w:r>
      <w:r>
        <w:rPr>
          <w:rFonts w:ascii="Times New Roman" w:hAnsi="Times New Roman" w:eastAsia="仿宋"/>
          <w:b w:val="0"/>
          <w:sz w:val="30"/>
          <w:szCs w:val="30"/>
        </w:rPr>
        <w:t>GB 31533</w:t>
      </w:r>
      <w:r>
        <w:rPr>
          <w:rFonts w:hint="eastAsia" w:ascii="Times New Roman" w:hAnsi="Times New Roman" w:eastAsia="仿宋"/>
          <w:b w:val="0"/>
          <w:sz w:val="30"/>
          <w:szCs w:val="30"/>
        </w:rPr>
        <w:t>）</w:t>
      </w:r>
      <w:r>
        <w:rPr>
          <w:rFonts w:hint="eastAsia" w:ascii="Times New Roman" w:hAnsi="Times New Roman" w:eastAsia="仿宋"/>
          <w:b w:val="0"/>
          <w:sz w:val="28"/>
          <w:szCs w:val="28"/>
        </w:rPr>
        <w:t>。</w:t>
      </w:r>
      <w:r>
        <w:rPr>
          <w:rFonts w:hint="eastAsia" w:ascii="Times New Roman" w:hAnsi="Times New Roman" w:eastAsia="仿宋"/>
          <w:b w:val="0"/>
          <w:sz w:val="30"/>
          <w:szCs w:val="30"/>
        </w:rPr>
        <w:t>企业排名以单位产品综合能耗为主要参考指标进行。</w:t>
      </w:r>
    </w:p>
    <w:p>
      <w:pPr>
        <w:jc w:val="center"/>
        <w:rPr>
          <w:rFonts w:ascii="Times New Roman" w:hAnsi="Times New Roman" w:eastAsia="仿宋"/>
          <w:b w:val="0"/>
          <w:sz w:val="24"/>
          <w:szCs w:val="24"/>
        </w:rPr>
      </w:pPr>
      <w:r>
        <w:rPr>
          <w:rFonts w:hint="eastAsia" w:ascii="Times New Roman" w:hAnsi="Times New Roman" w:eastAsia="仿宋"/>
          <w:b w:val="0"/>
          <w:sz w:val="24"/>
          <w:szCs w:val="24"/>
        </w:rPr>
        <w:t>表4精对二甲酸综合能源消耗量和用电量统计表</w:t>
      </w:r>
    </w:p>
    <w:p>
      <w:pPr>
        <w:rPr>
          <w:rFonts w:ascii="Times New Roman" w:hAnsi="Times New Roman" w:eastAsia="仿宋"/>
          <w:b w:val="0"/>
          <w:sz w:val="24"/>
          <w:szCs w:val="24"/>
        </w:rPr>
      </w:pPr>
      <w:r>
        <w:rPr>
          <w:rFonts w:hint="eastAsia" w:ascii="Times New Roman" w:hAnsi="Times New Roman" w:eastAsia="仿宋"/>
          <w:b w:val="0"/>
          <w:sz w:val="24"/>
          <w:szCs w:val="24"/>
        </w:rPr>
        <w:t>单位：</w:t>
      </w:r>
      <w:r>
        <w:rPr>
          <w:rFonts w:hint="eastAsia" w:ascii="Times New Roman" w:hAnsi="Times New Roman" w:eastAsia="仿宋"/>
          <w:b w:val="0"/>
          <w:sz w:val="24"/>
          <w:szCs w:val="24"/>
          <w:u w:val="single"/>
        </w:rPr>
        <w:t xml:space="preserve">×××企业          </w:t>
      </w:r>
      <w:r>
        <w:rPr>
          <w:rFonts w:hint="eastAsia" w:ascii="Times New Roman" w:hAnsi="Times New Roman" w:eastAsia="仿宋"/>
          <w:b w:val="0"/>
          <w:sz w:val="24"/>
          <w:szCs w:val="24"/>
        </w:rPr>
        <w:t xml:space="preserve">         报告期：2022年1月1日—12月31日</w:t>
      </w:r>
    </w:p>
    <w:tbl>
      <w:tblPr>
        <w:tblStyle w:val="4"/>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2976"/>
        <w:gridCol w:w="2385"/>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7"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产品</w:t>
            </w:r>
          </w:p>
        </w:tc>
        <w:tc>
          <w:tcPr>
            <w:tcW w:w="2976"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吨精对苯二甲酸综合能耗</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（千克标准油）</w:t>
            </w:r>
          </w:p>
        </w:tc>
        <w:tc>
          <w:tcPr>
            <w:tcW w:w="2385"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吨精对苯二甲酸电耗</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（千瓦时）</w:t>
            </w:r>
          </w:p>
        </w:tc>
        <w:tc>
          <w:tcPr>
            <w:tcW w:w="1512"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7"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精对苯二甲酸</w:t>
            </w:r>
          </w:p>
        </w:tc>
        <w:tc>
          <w:tcPr>
            <w:tcW w:w="2976" w:type="dxa"/>
            <w:vAlign w:val="center"/>
          </w:tcPr>
          <w:p>
            <w:pPr>
              <w:jc w:val="center"/>
              <w:rPr>
                <w:rFonts w:ascii="Times New Roman" w:hAnsi="Times New Roman" w:eastAsia="仿宋"/>
                <w:b w:val="0"/>
                <w:sz w:val="24"/>
                <w:szCs w:val="24"/>
              </w:rPr>
            </w:pPr>
          </w:p>
        </w:tc>
        <w:tc>
          <w:tcPr>
            <w:tcW w:w="2385" w:type="dxa"/>
            <w:vAlign w:val="center"/>
          </w:tcPr>
          <w:p>
            <w:pPr>
              <w:jc w:val="center"/>
              <w:rPr>
                <w:rFonts w:ascii="Times New Roman" w:hAnsi="Times New Roman" w:eastAsia="仿宋"/>
                <w:b w:val="0"/>
                <w:sz w:val="24"/>
                <w:szCs w:val="24"/>
              </w:rPr>
            </w:pPr>
          </w:p>
        </w:tc>
        <w:tc>
          <w:tcPr>
            <w:tcW w:w="1512" w:type="dxa"/>
            <w:vAlign w:val="center"/>
          </w:tcPr>
          <w:p>
            <w:pPr>
              <w:jc w:val="center"/>
              <w:rPr>
                <w:rFonts w:ascii="Times New Roman" w:hAnsi="Times New Roman" w:eastAsia="仿宋"/>
                <w:b w:val="0"/>
                <w:sz w:val="24"/>
                <w:szCs w:val="24"/>
              </w:rPr>
            </w:pPr>
          </w:p>
          <w:p>
            <w:pPr>
              <w:jc w:val="center"/>
              <w:rPr>
                <w:rFonts w:ascii="Times New Roman" w:hAnsi="Times New Roman" w:eastAsia="仿宋"/>
                <w:b w:val="0"/>
                <w:sz w:val="24"/>
                <w:szCs w:val="24"/>
              </w:rPr>
            </w:pPr>
          </w:p>
        </w:tc>
      </w:tr>
    </w:tbl>
    <w:p>
      <w:pPr>
        <w:rPr>
          <w:rFonts w:ascii="Times New Roman" w:hAnsi="Times New Roman" w:eastAsia="仿宋"/>
          <w:b w:val="0"/>
          <w:sz w:val="24"/>
          <w:szCs w:val="24"/>
          <w:u w:val="single"/>
        </w:rPr>
      </w:pPr>
      <w:r>
        <w:rPr>
          <w:rFonts w:hint="eastAsia" w:ascii="Times New Roman" w:hAnsi="Times New Roman" w:eastAsia="仿宋"/>
          <w:b w:val="0"/>
          <w:sz w:val="24"/>
          <w:szCs w:val="24"/>
        </w:rPr>
        <w:t>填报人：   联系电话：   填报日期：</w:t>
      </w:r>
    </w:p>
    <w:p>
      <w:pPr>
        <w:spacing w:line="480" w:lineRule="exact"/>
        <w:ind w:firstLine="594" w:firstLineChars="198"/>
        <w:rPr>
          <w:rFonts w:ascii="Times New Roman" w:hAnsi="Times New Roman" w:eastAsia="黑体"/>
          <w:b w:val="0"/>
          <w:sz w:val="30"/>
          <w:szCs w:val="30"/>
        </w:rPr>
      </w:pPr>
    </w:p>
    <w:p>
      <w:pPr>
        <w:spacing w:line="480" w:lineRule="exact"/>
        <w:ind w:firstLine="594" w:firstLineChars="198"/>
        <w:rPr>
          <w:rFonts w:ascii="Times New Roman" w:hAnsi="Times New Roman" w:eastAsia="黑体"/>
          <w:b w:val="0"/>
          <w:sz w:val="30"/>
          <w:szCs w:val="30"/>
        </w:rPr>
      </w:pPr>
      <w:r>
        <w:rPr>
          <w:rFonts w:hint="eastAsia" w:ascii="Times New Roman" w:hAnsi="Times New Roman" w:eastAsia="黑体"/>
          <w:b w:val="0"/>
          <w:sz w:val="30"/>
          <w:szCs w:val="30"/>
        </w:rPr>
        <w:t>五、乙二醇</w:t>
      </w:r>
    </w:p>
    <w:p>
      <w:pPr>
        <w:spacing w:line="480" w:lineRule="exact"/>
        <w:ind w:firstLine="600" w:firstLineChars="200"/>
        <w:rPr>
          <w:rFonts w:ascii="Times New Roman" w:hAnsi="Times New Roman" w:eastAsia="仿宋"/>
          <w:b w:val="0"/>
          <w:sz w:val="30"/>
          <w:szCs w:val="30"/>
        </w:rPr>
      </w:pPr>
      <w:r>
        <w:rPr>
          <w:rFonts w:hint="eastAsia" w:ascii="Times New Roman" w:hAnsi="Times New Roman" w:eastAsia="仿宋"/>
          <w:b w:val="0"/>
          <w:sz w:val="30"/>
          <w:szCs w:val="30"/>
        </w:rPr>
        <w:t>统计生产企业报告期内乙二醇产品综合能源消耗量和用电量（见表5）。统计范围和计算方法</w:t>
      </w:r>
      <w:r>
        <w:rPr>
          <w:rFonts w:hint="eastAsia" w:ascii="Times New Roman" w:hAnsi="Times New Roman" w:eastAsia="仿宋"/>
          <w:b w:val="0"/>
          <w:sz w:val="28"/>
          <w:szCs w:val="28"/>
        </w:rPr>
        <w:t>按照《</w:t>
      </w:r>
      <w:r>
        <w:rPr>
          <w:rFonts w:hint="eastAsia" w:ascii="Times New Roman" w:hAnsi="Times New Roman" w:eastAsia="仿宋"/>
          <w:b w:val="0"/>
          <w:sz w:val="30"/>
          <w:szCs w:val="30"/>
        </w:rPr>
        <w:t>醇醚行业单位产品能源消耗限额</w:t>
      </w:r>
      <w:r>
        <w:rPr>
          <w:rFonts w:hint="eastAsia" w:ascii="Times New Roman" w:hAnsi="Times New Roman" w:eastAsia="仿宋"/>
          <w:b w:val="0"/>
          <w:sz w:val="28"/>
          <w:szCs w:val="28"/>
        </w:rPr>
        <w:t>》（</w:t>
      </w:r>
      <w:r>
        <w:rPr>
          <w:rFonts w:hint="eastAsia" w:ascii="Times New Roman" w:hAnsi="Times New Roman" w:eastAsia="仿宋"/>
          <w:b w:val="0"/>
          <w:sz w:val="30"/>
          <w:szCs w:val="30"/>
        </w:rPr>
        <w:t>报批稿）</w:t>
      </w:r>
      <w:r>
        <w:rPr>
          <w:rFonts w:hint="eastAsia" w:ascii="Times New Roman" w:hAnsi="Times New Roman" w:eastAsia="仿宋"/>
          <w:b w:val="0"/>
          <w:sz w:val="28"/>
          <w:szCs w:val="28"/>
        </w:rPr>
        <w:t>。</w:t>
      </w:r>
      <w:r>
        <w:rPr>
          <w:rFonts w:hint="eastAsia" w:ascii="Times New Roman" w:hAnsi="Times New Roman" w:eastAsia="仿宋"/>
          <w:b w:val="0"/>
          <w:sz w:val="30"/>
          <w:szCs w:val="30"/>
        </w:rPr>
        <w:t>企业排名以单位产品综合能耗为主要参考指标进行。</w:t>
      </w:r>
    </w:p>
    <w:p>
      <w:pPr>
        <w:jc w:val="center"/>
        <w:rPr>
          <w:rFonts w:ascii="Times New Roman" w:hAnsi="Times New Roman" w:eastAsia="仿宋"/>
          <w:b w:val="0"/>
          <w:sz w:val="24"/>
          <w:szCs w:val="24"/>
        </w:rPr>
      </w:pPr>
      <w:r>
        <w:rPr>
          <w:rFonts w:hint="eastAsia" w:ascii="Times New Roman" w:hAnsi="Times New Roman" w:eastAsia="仿宋"/>
          <w:b w:val="0"/>
          <w:sz w:val="24"/>
          <w:szCs w:val="24"/>
        </w:rPr>
        <w:t>表5乙二醇综合能源消耗量和用电量统计表</w:t>
      </w:r>
    </w:p>
    <w:p>
      <w:pPr>
        <w:rPr>
          <w:rFonts w:ascii="Times New Roman" w:hAnsi="Times New Roman" w:eastAsia="仿宋"/>
          <w:b w:val="0"/>
          <w:sz w:val="24"/>
          <w:szCs w:val="24"/>
        </w:rPr>
      </w:pPr>
      <w:r>
        <w:rPr>
          <w:rFonts w:hint="eastAsia" w:ascii="Times New Roman" w:hAnsi="Times New Roman" w:eastAsia="仿宋"/>
          <w:b w:val="0"/>
          <w:sz w:val="24"/>
          <w:szCs w:val="24"/>
        </w:rPr>
        <w:t>单位：</w:t>
      </w:r>
      <w:r>
        <w:rPr>
          <w:rFonts w:hint="eastAsia" w:ascii="Times New Roman" w:hAnsi="Times New Roman" w:eastAsia="仿宋"/>
          <w:b w:val="0"/>
          <w:sz w:val="24"/>
          <w:szCs w:val="24"/>
          <w:u w:val="single"/>
        </w:rPr>
        <w:t xml:space="preserve">×××企业          </w:t>
      </w:r>
      <w:r>
        <w:rPr>
          <w:rFonts w:hint="eastAsia" w:ascii="Times New Roman" w:hAnsi="Times New Roman" w:eastAsia="仿宋"/>
          <w:b w:val="0"/>
          <w:sz w:val="24"/>
          <w:szCs w:val="24"/>
        </w:rPr>
        <w:t xml:space="preserve">         报告期：2022年1月1日—12月31日</w:t>
      </w:r>
    </w:p>
    <w:tbl>
      <w:tblPr>
        <w:tblStyle w:val="4"/>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2841"/>
        <w:gridCol w:w="2520"/>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7"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产品</w:t>
            </w:r>
          </w:p>
        </w:tc>
        <w:tc>
          <w:tcPr>
            <w:tcW w:w="2841"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吨乙二醇综合能耗</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（千克标准煤）</w:t>
            </w:r>
          </w:p>
        </w:tc>
        <w:tc>
          <w:tcPr>
            <w:tcW w:w="2520"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吨乙二醇电耗</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（千瓦时）</w:t>
            </w:r>
          </w:p>
        </w:tc>
        <w:tc>
          <w:tcPr>
            <w:tcW w:w="1512"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7"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合成气制乙二醇</w:t>
            </w:r>
          </w:p>
        </w:tc>
        <w:tc>
          <w:tcPr>
            <w:tcW w:w="2841" w:type="dxa"/>
            <w:vAlign w:val="center"/>
          </w:tcPr>
          <w:p>
            <w:pPr>
              <w:jc w:val="center"/>
              <w:rPr>
                <w:rFonts w:ascii="Times New Roman" w:hAnsi="Times New Roman" w:eastAsia="仿宋"/>
                <w:b w:val="0"/>
                <w:sz w:val="24"/>
                <w:szCs w:val="24"/>
              </w:rPr>
            </w:pPr>
          </w:p>
        </w:tc>
        <w:tc>
          <w:tcPr>
            <w:tcW w:w="2520" w:type="dxa"/>
            <w:vAlign w:val="center"/>
          </w:tcPr>
          <w:p>
            <w:pPr>
              <w:jc w:val="center"/>
              <w:rPr>
                <w:rFonts w:ascii="Times New Roman" w:hAnsi="Times New Roman" w:eastAsia="仿宋"/>
                <w:b w:val="0"/>
                <w:sz w:val="24"/>
                <w:szCs w:val="24"/>
              </w:rPr>
            </w:pPr>
          </w:p>
        </w:tc>
        <w:tc>
          <w:tcPr>
            <w:tcW w:w="1512" w:type="dxa"/>
            <w:vAlign w:val="center"/>
          </w:tcPr>
          <w:p>
            <w:pPr>
              <w:jc w:val="center"/>
              <w:rPr>
                <w:rFonts w:ascii="Times New Roman" w:hAnsi="Times New Roman" w:eastAsia="仿宋"/>
                <w:b w:val="0"/>
                <w:sz w:val="24"/>
                <w:szCs w:val="24"/>
              </w:rPr>
            </w:pPr>
          </w:p>
          <w:p>
            <w:pPr>
              <w:jc w:val="center"/>
              <w:rPr>
                <w:rFonts w:ascii="Times New Roman" w:hAnsi="Times New Roman" w:eastAsia="仿宋"/>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8" w:hRule="atLeast"/>
        </w:trPr>
        <w:tc>
          <w:tcPr>
            <w:tcW w:w="2127"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煤制乙二醇</w:t>
            </w:r>
          </w:p>
        </w:tc>
        <w:tc>
          <w:tcPr>
            <w:tcW w:w="2841" w:type="dxa"/>
            <w:vAlign w:val="center"/>
          </w:tcPr>
          <w:p>
            <w:pPr>
              <w:jc w:val="center"/>
              <w:rPr>
                <w:rFonts w:ascii="Times New Roman" w:hAnsi="Times New Roman" w:eastAsia="仿宋"/>
                <w:b w:val="0"/>
                <w:sz w:val="24"/>
                <w:szCs w:val="24"/>
              </w:rPr>
            </w:pPr>
          </w:p>
        </w:tc>
        <w:tc>
          <w:tcPr>
            <w:tcW w:w="2520" w:type="dxa"/>
            <w:vAlign w:val="center"/>
          </w:tcPr>
          <w:p>
            <w:pPr>
              <w:jc w:val="center"/>
              <w:rPr>
                <w:rFonts w:ascii="Times New Roman" w:hAnsi="Times New Roman" w:eastAsia="仿宋"/>
                <w:b w:val="0"/>
                <w:sz w:val="24"/>
                <w:szCs w:val="24"/>
              </w:rPr>
            </w:pPr>
          </w:p>
        </w:tc>
        <w:tc>
          <w:tcPr>
            <w:tcW w:w="1512" w:type="dxa"/>
            <w:vAlign w:val="center"/>
          </w:tcPr>
          <w:p>
            <w:pPr>
              <w:jc w:val="center"/>
              <w:rPr>
                <w:rFonts w:ascii="Times New Roman" w:hAnsi="Times New Roman" w:eastAsia="仿宋"/>
                <w:b w:val="0"/>
                <w:sz w:val="24"/>
                <w:szCs w:val="24"/>
              </w:rPr>
            </w:pPr>
          </w:p>
        </w:tc>
      </w:tr>
    </w:tbl>
    <w:p>
      <w:pPr>
        <w:rPr>
          <w:rFonts w:ascii="Times New Roman" w:hAnsi="Times New Roman" w:eastAsia="仿宋"/>
          <w:b w:val="0"/>
          <w:sz w:val="24"/>
          <w:szCs w:val="24"/>
          <w:u w:val="single"/>
        </w:rPr>
      </w:pPr>
      <w:r>
        <w:rPr>
          <w:rFonts w:hint="eastAsia" w:ascii="Times New Roman" w:hAnsi="Times New Roman" w:eastAsia="仿宋"/>
          <w:b w:val="0"/>
          <w:sz w:val="24"/>
          <w:szCs w:val="24"/>
        </w:rPr>
        <w:t>填报人：   联系电话：   填报日期：</w:t>
      </w:r>
    </w:p>
    <w:p>
      <w:pPr>
        <w:spacing w:line="480" w:lineRule="exact"/>
        <w:ind w:firstLine="594" w:firstLineChars="198"/>
        <w:rPr>
          <w:rFonts w:ascii="Times New Roman" w:hAnsi="Times New Roman" w:eastAsia="黑体"/>
          <w:b w:val="0"/>
          <w:sz w:val="30"/>
          <w:szCs w:val="30"/>
        </w:rPr>
      </w:pPr>
      <w:r>
        <w:rPr>
          <w:rFonts w:hint="eastAsia" w:ascii="Times New Roman" w:hAnsi="Times New Roman" w:eastAsia="黑体"/>
          <w:b w:val="0"/>
          <w:sz w:val="30"/>
          <w:szCs w:val="30"/>
        </w:rPr>
        <w:t>六、煤制油</w:t>
      </w:r>
    </w:p>
    <w:p>
      <w:pPr>
        <w:spacing w:line="480" w:lineRule="exact"/>
        <w:ind w:firstLine="600" w:firstLineChars="200"/>
        <w:rPr>
          <w:rFonts w:ascii="Times New Roman" w:hAnsi="Times New Roman" w:eastAsia="仿宋"/>
          <w:b w:val="0"/>
          <w:sz w:val="30"/>
          <w:szCs w:val="30"/>
        </w:rPr>
      </w:pPr>
      <w:r>
        <w:rPr>
          <w:rFonts w:hint="eastAsia" w:ascii="Times New Roman" w:hAnsi="Times New Roman" w:eastAsia="仿宋"/>
          <w:b w:val="0"/>
          <w:sz w:val="30"/>
          <w:szCs w:val="30"/>
        </w:rPr>
        <w:t>统计生产企业报告期内吨标准油产品综合能源消耗量和用电量（见表6）。统计范围和计算方法</w:t>
      </w:r>
      <w:r>
        <w:rPr>
          <w:rFonts w:hint="eastAsia" w:ascii="Times New Roman" w:hAnsi="Times New Roman" w:eastAsia="仿宋"/>
          <w:b w:val="0"/>
          <w:sz w:val="28"/>
          <w:szCs w:val="28"/>
        </w:rPr>
        <w:t>按照《</w:t>
      </w:r>
      <w:r>
        <w:rPr>
          <w:rFonts w:hint="eastAsia" w:ascii="Times New Roman" w:hAnsi="Times New Roman" w:eastAsia="仿宋"/>
          <w:b w:val="0"/>
          <w:sz w:val="30"/>
          <w:szCs w:val="30"/>
        </w:rPr>
        <w:t>煤直接液化制油</w:t>
      </w:r>
      <w:r>
        <w:rPr>
          <w:rFonts w:ascii="Times New Roman" w:hAnsi="Times New Roman" w:eastAsia="仿宋"/>
          <w:b w:val="0"/>
          <w:sz w:val="30"/>
          <w:szCs w:val="30"/>
        </w:rPr>
        <w:t>单位产品能源消耗限额</w:t>
      </w:r>
      <w:r>
        <w:rPr>
          <w:rFonts w:hint="eastAsia" w:ascii="Times New Roman" w:hAnsi="Times New Roman" w:eastAsia="仿宋"/>
          <w:b w:val="0"/>
          <w:sz w:val="28"/>
          <w:szCs w:val="28"/>
        </w:rPr>
        <w:t>》（</w:t>
      </w:r>
      <w:r>
        <w:rPr>
          <w:rFonts w:ascii="Times New Roman" w:hAnsi="Times New Roman" w:eastAsia="仿宋"/>
          <w:b w:val="0"/>
          <w:sz w:val="30"/>
          <w:szCs w:val="30"/>
        </w:rPr>
        <w:t>GB</w:t>
      </w:r>
      <w:r>
        <w:rPr>
          <w:rFonts w:hint="eastAsia" w:ascii="Times New Roman" w:hAnsi="Times New Roman" w:eastAsia="仿宋"/>
          <w:b w:val="0"/>
          <w:sz w:val="30"/>
          <w:szCs w:val="30"/>
        </w:rPr>
        <w:t xml:space="preserve"> 30178）</w:t>
      </w:r>
      <w:r>
        <w:rPr>
          <w:rFonts w:hint="eastAsia" w:ascii="Times New Roman" w:hAnsi="Times New Roman" w:eastAsia="仿宋"/>
          <w:b w:val="0"/>
          <w:sz w:val="28"/>
          <w:szCs w:val="28"/>
        </w:rPr>
        <w:t>。</w:t>
      </w:r>
      <w:r>
        <w:rPr>
          <w:rFonts w:hint="eastAsia" w:ascii="Times New Roman" w:hAnsi="Times New Roman" w:eastAsia="仿宋"/>
          <w:b w:val="0"/>
          <w:sz w:val="30"/>
          <w:szCs w:val="30"/>
        </w:rPr>
        <w:t>企业排名以单位产品综合能耗为主要参考指标进行。</w:t>
      </w:r>
    </w:p>
    <w:p>
      <w:pPr>
        <w:jc w:val="center"/>
        <w:rPr>
          <w:rFonts w:ascii="Times New Roman" w:hAnsi="Times New Roman" w:eastAsia="仿宋"/>
          <w:b w:val="0"/>
          <w:sz w:val="24"/>
          <w:szCs w:val="24"/>
        </w:rPr>
      </w:pPr>
      <w:r>
        <w:rPr>
          <w:rFonts w:hint="eastAsia" w:ascii="Times New Roman" w:hAnsi="Times New Roman" w:eastAsia="仿宋"/>
          <w:b w:val="0"/>
          <w:sz w:val="24"/>
          <w:szCs w:val="24"/>
        </w:rPr>
        <w:t>表6乙烯和丙烯综合能源消耗量和用电量统计表</w:t>
      </w:r>
    </w:p>
    <w:p>
      <w:pPr>
        <w:rPr>
          <w:rFonts w:ascii="Times New Roman" w:hAnsi="Times New Roman" w:eastAsia="仿宋"/>
          <w:b w:val="0"/>
          <w:sz w:val="24"/>
          <w:szCs w:val="24"/>
        </w:rPr>
      </w:pPr>
      <w:r>
        <w:rPr>
          <w:rFonts w:hint="eastAsia" w:ascii="Times New Roman" w:hAnsi="Times New Roman" w:eastAsia="仿宋"/>
          <w:b w:val="0"/>
          <w:sz w:val="24"/>
          <w:szCs w:val="24"/>
        </w:rPr>
        <w:t>单位：</w:t>
      </w:r>
      <w:r>
        <w:rPr>
          <w:rFonts w:hint="eastAsia" w:ascii="Times New Roman" w:hAnsi="Times New Roman" w:eastAsia="仿宋"/>
          <w:b w:val="0"/>
          <w:sz w:val="24"/>
          <w:szCs w:val="24"/>
          <w:u w:val="single"/>
        </w:rPr>
        <w:t xml:space="preserve">×××企业          </w:t>
      </w:r>
      <w:r>
        <w:rPr>
          <w:rFonts w:hint="eastAsia" w:ascii="Times New Roman" w:hAnsi="Times New Roman" w:eastAsia="仿宋"/>
          <w:b w:val="0"/>
          <w:sz w:val="24"/>
          <w:szCs w:val="24"/>
        </w:rPr>
        <w:t xml:space="preserve">         报告期：2022年1月1日—12月31日</w:t>
      </w:r>
    </w:p>
    <w:tbl>
      <w:tblPr>
        <w:tblStyle w:val="4"/>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2841"/>
        <w:gridCol w:w="2520"/>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7"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产品</w:t>
            </w:r>
          </w:p>
        </w:tc>
        <w:tc>
          <w:tcPr>
            <w:tcW w:w="2841"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吨标准油综合能耗</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（千克标准煤）</w:t>
            </w:r>
          </w:p>
        </w:tc>
        <w:tc>
          <w:tcPr>
            <w:tcW w:w="2520"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吨标准油电耗</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（千瓦时）</w:t>
            </w:r>
          </w:p>
        </w:tc>
        <w:tc>
          <w:tcPr>
            <w:tcW w:w="1512"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7"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标准油</w:t>
            </w:r>
          </w:p>
        </w:tc>
        <w:tc>
          <w:tcPr>
            <w:tcW w:w="2841" w:type="dxa"/>
            <w:vAlign w:val="center"/>
          </w:tcPr>
          <w:p>
            <w:pPr>
              <w:jc w:val="center"/>
              <w:rPr>
                <w:rFonts w:ascii="Times New Roman" w:hAnsi="Times New Roman" w:eastAsia="仿宋"/>
                <w:b w:val="0"/>
                <w:sz w:val="24"/>
                <w:szCs w:val="24"/>
              </w:rPr>
            </w:pPr>
          </w:p>
        </w:tc>
        <w:tc>
          <w:tcPr>
            <w:tcW w:w="2520" w:type="dxa"/>
            <w:vAlign w:val="center"/>
          </w:tcPr>
          <w:p>
            <w:pPr>
              <w:jc w:val="center"/>
              <w:rPr>
                <w:rFonts w:ascii="Times New Roman" w:hAnsi="Times New Roman" w:eastAsia="仿宋"/>
                <w:b w:val="0"/>
                <w:sz w:val="24"/>
                <w:szCs w:val="24"/>
              </w:rPr>
            </w:pPr>
          </w:p>
        </w:tc>
        <w:tc>
          <w:tcPr>
            <w:tcW w:w="1512" w:type="dxa"/>
            <w:vAlign w:val="center"/>
          </w:tcPr>
          <w:p>
            <w:pPr>
              <w:jc w:val="center"/>
              <w:rPr>
                <w:rFonts w:ascii="Times New Roman" w:hAnsi="Times New Roman" w:eastAsia="仿宋"/>
                <w:b w:val="0"/>
                <w:sz w:val="24"/>
                <w:szCs w:val="24"/>
              </w:rPr>
            </w:pPr>
          </w:p>
          <w:p>
            <w:pPr>
              <w:jc w:val="center"/>
              <w:rPr>
                <w:rFonts w:ascii="Times New Roman" w:hAnsi="Times New Roman" w:eastAsia="仿宋"/>
                <w:b w:val="0"/>
                <w:sz w:val="24"/>
                <w:szCs w:val="24"/>
              </w:rPr>
            </w:pPr>
          </w:p>
        </w:tc>
      </w:tr>
    </w:tbl>
    <w:p>
      <w:pPr>
        <w:rPr>
          <w:rFonts w:ascii="Times New Roman" w:hAnsi="Times New Roman" w:eastAsia="仿宋"/>
          <w:b w:val="0"/>
          <w:sz w:val="24"/>
          <w:szCs w:val="24"/>
          <w:u w:val="single"/>
        </w:rPr>
      </w:pPr>
      <w:r>
        <w:rPr>
          <w:rFonts w:hint="eastAsia" w:ascii="Times New Roman" w:hAnsi="Times New Roman" w:eastAsia="仿宋"/>
          <w:b w:val="0"/>
          <w:sz w:val="24"/>
          <w:szCs w:val="24"/>
        </w:rPr>
        <w:t>填报人：   联系电话：   填报日期：</w:t>
      </w:r>
    </w:p>
    <w:p>
      <w:pPr>
        <w:spacing w:line="480" w:lineRule="exact"/>
        <w:ind w:firstLine="594" w:firstLineChars="198"/>
        <w:rPr>
          <w:rFonts w:ascii="Times New Roman" w:hAnsi="Times New Roman" w:eastAsia="黑体"/>
          <w:b w:val="0"/>
          <w:sz w:val="30"/>
          <w:szCs w:val="30"/>
        </w:rPr>
      </w:pPr>
      <w:r>
        <w:rPr>
          <w:rFonts w:hint="eastAsia" w:ascii="Times New Roman" w:hAnsi="Times New Roman" w:eastAsia="黑体"/>
          <w:b w:val="0"/>
          <w:sz w:val="30"/>
          <w:szCs w:val="30"/>
        </w:rPr>
        <w:t>七、煤制烯烃</w:t>
      </w:r>
    </w:p>
    <w:p>
      <w:pPr>
        <w:spacing w:line="480" w:lineRule="exact"/>
        <w:ind w:firstLine="600" w:firstLineChars="200"/>
        <w:rPr>
          <w:rFonts w:ascii="Times New Roman" w:hAnsi="Times New Roman" w:eastAsia="仿宋"/>
          <w:b w:val="0"/>
          <w:sz w:val="30"/>
          <w:szCs w:val="30"/>
        </w:rPr>
      </w:pPr>
      <w:r>
        <w:rPr>
          <w:rFonts w:hint="eastAsia" w:ascii="Times New Roman" w:hAnsi="Times New Roman" w:eastAsia="仿宋"/>
          <w:b w:val="0"/>
          <w:sz w:val="30"/>
          <w:szCs w:val="30"/>
        </w:rPr>
        <w:t>统计生产企业报告期内吨乙烯和丙烯产品综合能源消耗量和煤耗（见表7）。统计范围和计算方法</w:t>
      </w:r>
      <w:r>
        <w:rPr>
          <w:rFonts w:hint="eastAsia" w:ascii="Times New Roman" w:hAnsi="Times New Roman" w:eastAsia="仿宋"/>
          <w:b w:val="0"/>
          <w:sz w:val="28"/>
          <w:szCs w:val="28"/>
        </w:rPr>
        <w:t>按照《</w:t>
      </w:r>
      <w:r>
        <w:rPr>
          <w:rFonts w:ascii="Times New Roman" w:hAnsi="Times New Roman" w:eastAsia="仿宋"/>
          <w:b w:val="0"/>
          <w:sz w:val="30"/>
          <w:szCs w:val="30"/>
        </w:rPr>
        <w:t>煤制烯烃单位产品能源消耗限额</w:t>
      </w:r>
      <w:r>
        <w:rPr>
          <w:rFonts w:hint="eastAsia" w:ascii="Times New Roman" w:hAnsi="Times New Roman" w:eastAsia="仿宋"/>
          <w:b w:val="0"/>
          <w:sz w:val="28"/>
          <w:szCs w:val="28"/>
        </w:rPr>
        <w:t>》（</w:t>
      </w:r>
      <w:r>
        <w:rPr>
          <w:rFonts w:ascii="Times New Roman" w:hAnsi="Times New Roman" w:eastAsia="仿宋"/>
          <w:b w:val="0"/>
          <w:sz w:val="30"/>
          <w:szCs w:val="30"/>
        </w:rPr>
        <w:t>GB 30180</w:t>
      </w:r>
      <w:r>
        <w:rPr>
          <w:rFonts w:hint="eastAsia" w:ascii="Times New Roman" w:hAnsi="Times New Roman" w:eastAsia="仿宋"/>
          <w:b w:val="0"/>
          <w:sz w:val="30"/>
          <w:szCs w:val="30"/>
        </w:rPr>
        <w:t>）</w:t>
      </w:r>
      <w:r>
        <w:rPr>
          <w:rFonts w:hint="eastAsia" w:ascii="Times New Roman" w:hAnsi="Times New Roman" w:eastAsia="仿宋"/>
          <w:b w:val="0"/>
          <w:sz w:val="28"/>
          <w:szCs w:val="28"/>
        </w:rPr>
        <w:t>。</w:t>
      </w:r>
      <w:r>
        <w:rPr>
          <w:rFonts w:hint="eastAsia" w:ascii="Times New Roman" w:hAnsi="Times New Roman" w:eastAsia="仿宋"/>
          <w:b w:val="0"/>
          <w:sz w:val="30"/>
          <w:szCs w:val="30"/>
        </w:rPr>
        <w:t>企业排名以单位产品综合能耗为主要参考指标进行。</w:t>
      </w:r>
    </w:p>
    <w:p>
      <w:pPr>
        <w:jc w:val="center"/>
        <w:rPr>
          <w:rFonts w:ascii="Times New Roman" w:hAnsi="Times New Roman" w:eastAsia="仿宋"/>
          <w:b w:val="0"/>
          <w:sz w:val="24"/>
          <w:szCs w:val="24"/>
        </w:rPr>
      </w:pPr>
      <w:r>
        <w:rPr>
          <w:rFonts w:hint="eastAsia" w:ascii="Times New Roman" w:hAnsi="Times New Roman" w:eastAsia="仿宋"/>
          <w:b w:val="0"/>
          <w:sz w:val="24"/>
          <w:szCs w:val="24"/>
        </w:rPr>
        <w:t>表7乙烯和丙烯综合能源消耗量和煤耗统计表</w:t>
      </w:r>
    </w:p>
    <w:p>
      <w:pPr>
        <w:rPr>
          <w:rFonts w:ascii="Times New Roman" w:hAnsi="Times New Roman" w:eastAsia="仿宋"/>
          <w:b w:val="0"/>
          <w:sz w:val="24"/>
          <w:szCs w:val="24"/>
        </w:rPr>
      </w:pPr>
      <w:r>
        <w:rPr>
          <w:rFonts w:hint="eastAsia" w:ascii="Times New Roman" w:hAnsi="Times New Roman" w:eastAsia="仿宋"/>
          <w:b w:val="0"/>
          <w:sz w:val="24"/>
          <w:szCs w:val="24"/>
        </w:rPr>
        <w:t>单位：</w:t>
      </w:r>
      <w:r>
        <w:rPr>
          <w:rFonts w:hint="eastAsia" w:ascii="Times New Roman" w:hAnsi="Times New Roman" w:eastAsia="仿宋"/>
          <w:b w:val="0"/>
          <w:sz w:val="24"/>
          <w:szCs w:val="24"/>
          <w:u w:val="single"/>
        </w:rPr>
        <w:t xml:space="preserve">×××企业          </w:t>
      </w:r>
      <w:r>
        <w:rPr>
          <w:rFonts w:hint="eastAsia" w:ascii="Times New Roman" w:hAnsi="Times New Roman" w:eastAsia="仿宋"/>
          <w:b w:val="0"/>
          <w:sz w:val="24"/>
          <w:szCs w:val="24"/>
        </w:rPr>
        <w:t xml:space="preserve">         报告期：2022年1月1日—12月31日</w:t>
      </w:r>
    </w:p>
    <w:tbl>
      <w:tblPr>
        <w:tblStyle w:val="4"/>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700"/>
        <w:gridCol w:w="2520"/>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产品</w:t>
            </w:r>
          </w:p>
        </w:tc>
        <w:tc>
          <w:tcPr>
            <w:tcW w:w="2700"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吨乙烯和丙烯综合能耗</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（千克标准煤</w:t>
            </w:r>
            <w:r>
              <w:rPr>
                <w:rFonts w:ascii="Times New Roman" w:hAnsi="Times New Roman" w:eastAsia="仿宋"/>
                <w:b w:val="0"/>
                <w:sz w:val="24"/>
                <w:szCs w:val="24"/>
              </w:rPr>
              <w:t>）</w:t>
            </w:r>
            <w:r>
              <w:rPr>
                <w:rFonts w:hint="eastAsia" w:ascii="Times New Roman" w:hAnsi="Times New Roman" w:eastAsia="仿宋_GB2312"/>
                <w:b w:val="0"/>
                <w:sz w:val="24"/>
                <w:szCs w:val="24"/>
              </w:rPr>
              <w:t xml:space="preserve"> </w:t>
            </w:r>
          </w:p>
        </w:tc>
        <w:tc>
          <w:tcPr>
            <w:tcW w:w="2520"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吨乙烯和丙烯煤耗</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（千克标准煤）</w:t>
            </w:r>
          </w:p>
        </w:tc>
        <w:tc>
          <w:tcPr>
            <w:tcW w:w="1512"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乙烯和丙烯</w:t>
            </w:r>
          </w:p>
        </w:tc>
        <w:tc>
          <w:tcPr>
            <w:tcW w:w="2700" w:type="dxa"/>
            <w:vAlign w:val="center"/>
          </w:tcPr>
          <w:p>
            <w:pPr>
              <w:jc w:val="center"/>
              <w:rPr>
                <w:rFonts w:ascii="Times New Roman" w:hAnsi="Times New Roman" w:eastAsia="仿宋"/>
                <w:b w:val="0"/>
                <w:sz w:val="24"/>
                <w:szCs w:val="24"/>
              </w:rPr>
            </w:pPr>
          </w:p>
        </w:tc>
        <w:tc>
          <w:tcPr>
            <w:tcW w:w="2520" w:type="dxa"/>
            <w:vAlign w:val="center"/>
          </w:tcPr>
          <w:p>
            <w:pPr>
              <w:jc w:val="center"/>
              <w:rPr>
                <w:rFonts w:ascii="Times New Roman" w:hAnsi="Times New Roman" w:eastAsia="仿宋"/>
                <w:b w:val="0"/>
                <w:sz w:val="24"/>
                <w:szCs w:val="24"/>
              </w:rPr>
            </w:pPr>
          </w:p>
        </w:tc>
        <w:tc>
          <w:tcPr>
            <w:tcW w:w="1512" w:type="dxa"/>
            <w:vAlign w:val="center"/>
          </w:tcPr>
          <w:p>
            <w:pPr>
              <w:jc w:val="center"/>
              <w:rPr>
                <w:rFonts w:ascii="Times New Roman" w:hAnsi="Times New Roman" w:eastAsia="仿宋"/>
                <w:b w:val="0"/>
                <w:sz w:val="24"/>
                <w:szCs w:val="24"/>
              </w:rPr>
            </w:pPr>
          </w:p>
          <w:p>
            <w:pPr>
              <w:jc w:val="center"/>
              <w:rPr>
                <w:rFonts w:ascii="Times New Roman" w:hAnsi="Times New Roman" w:eastAsia="仿宋"/>
                <w:b w:val="0"/>
                <w:sz w:val="24"/>
                <w:szCs w:val="24"/>
              </w:rPr>
            </w:pPr>
          </w:p>
        </w:tc>
      </w:tr>
    </w:tbl>
    <w:p>
      <w:pPr>
        <w:rPr>
          <w:rFonts w:ascii="Times New Roman" w:hAnsi="Times New Roman" w:eastAsia="仿宋"/>
          <w:b w:val="0"/>
          <w:sz w:val="24"/>
          <w:szCs w:val="24"/>
          <w:u w:val="single"/>
        </w:rPr>
      </w:pPr>
      <w:r>
        <w:rPr>
          <w:rFonts w:hint="eastAsia" w:ascii="Times New Roman" w:hAnsi="Times New Roman" w:eastAsia="仿宋"/>
          <w:b w:val="0"/>
          <w:sz w:val="24"/>
          <w:szCs w:val="24"/>
        </w:rPr>
        <w:t>填报人：   联系电话：   填报日期：</w:t>
      </w:r>
    </w:p>
    <w:p>
      <w:pPr>
        <w:spacing w:line="480" w:lineRule="exact"/>
        <w:ind w:firstLine="594" w:firstLineChars="198"/>
        <w:rPr>
          <w:rFonts w:ascii="Times New Roman" w:hAnsi="Times New Roman" w:eastAsia="黑体"/>
          <w:b w:val="0"/>
          <w:sz w:val="30"/>
          <w:szCs w:val="30"/>
        </w:rPr>
      </w:pPr>
    </w:p>
    <w:p>
      <w:pPr>
        <w:spacing w:line="480" w:lineRule="exact"/>
        <w:ind w:firstLine="594" w:firstLineChars="198"/>
        <w:rPr>
          <w:rFonts w:ascii="Times New Roman" w:hAnsi="Times New Roman" w:eastAsia="黑体"/>
          <w:b w:val="0"/>
          <w:sz w:val="30"/>
          <w:szCs w:val="30"/>
        </w:rPr>
      </w:pPr>
      <w:r>
        <w:rPr>
          <w:rFonts w:hint="eastAsia" w:ascii="Times New Roman" w:hAnsi="Times New Roman" w:eastAsia="黑体"/>
          <w:b w:val="0"/>
          <w:sz w:val="30"/>
          <w:szCs w:val="30"/>
        </w:rPr>
        <w:t>八、合成氨</w:t>
      </w:r>
    </w:p>
    <w:p>
      <w:pPr>
        <w:spacing w:line="480" w:lineRule="exact"/>
        <w:ind w:firstLine="600" w:firstLineChars="200"/>
        <w:rPr>
          <w:rFonts w:ascii="Times New Roman" w:hAnsi="Times New Roman" w:eastAsia="仿宋"/>
          <w:b w:val="0"/>
          <w:sz w:val="30"/>
          <w:szCs w:val="30"/>
        </w:rPr>
      </w:pPr>
      <w:r>
        <w:rPr>
          <w:rFonts w:hint="eastAsia" w:ascii="Times New Roman" w:hAnsi="Times New Roman" w:eastAsia="仿宋"/>
          <w:b w:val="0"/>
          <w:sz w:val="30"/>
          <w:szCs w:val="30"/>
        </w:rPr>
        <w:t>按照原料类型分别统计生产企业报告期内吨氨产品综合能源消耗量和用电量（见表8）。统计范围和计算方法按照《合成氨单位产品能源消耗限额》（GB21344）的规定进行。</w:t>
      </w:r>
    </w:p>
    <w:p>
      <w:pPr>
        <w:jc w:val="center"/>
        <w:rPr>
          <w:rFonts w:ascii="Times New Roman" w:hAnsi="Times New Roman" w:eastAsia="仿宋"/>
          <w:b w:val="0"/>
          <w:sz w:val="24"/>
          <w:szCs w:val="24"/>
        </w:rPr>
      </w:pPr>
      <w:r>
        <w:rPr>
          <w:rFonts w:hint="eastAsia" w:ascii="Times New Roman" w:hAnsi="Times New Roman" w:eastAsia="仿宋"/>
          <w:b w:val="0"/>
          <w:sz w:val="24"/>
          <w:szCs w:val="24"/>
        </w:rPr>
        <w:t>表8 合成氨综合能源消耗量和用电量统计表</w:t>
      </w:r>
    </w:p>
    <w:p>
      <w:pPr>
        <w:rPr>
          <w:rFonts w:ascii="Times New Roman" w:hAnsi="Times New Roman" w:eastAsia="仿宋"/>
          <w:b w:val="0"/>
          <w:sz w:val="24"/>
          <w:szCs w:val="24"/>
        </w:rPr>
      </w:pPr>
      <w:r>
        <w:rPr>
          <w:rFonts w:hint="eastAsia" w:ascii="Times New Roman" w:hAnsi="Times New Roman" w:eastAsia="仿宋"/>
          <w:b w:val="0"/>
          <w:sz w:val="24"/>
          <w:szCs w:val="24"/>
        </w:rPr>
        <w:t>单位：</w:t>
      </w:r>
      <w:r>
        <w:rPr>
          <w:rFonts w:hint="eastAsia" w:ascii="Times New Roman" w:hAnsi="Times New Roman" w:eastAsia="仿宋"/>
          <w:b w:val="0"/>
          <w:sz w:val="24"/>
          <w:szCs w:val="24"/>
          <w:u w:val="single"/>
        </w:rPr>
        <w:t xml:space="preserve">×××企业          </w:t>
      </w:r>
      <w:r>
        <w:rPr>
          <w:rFonts w:hint="eastAsia" w:ascii="Times New Roman" w:hAnsi="Times New Roman" w:eastAsia="仿宋"/>
          <w:b w:val="0"/>
          <w:sz w:val="24"/>
          <w:szCs w:val="24"/>
        </w:rPr>
        <w:t xml:space="preserve">         报告期：2022年1月1日—12月31日</w:t>
      </w:r>
    </w:p>
    <w:tbl>
      <w:tblPr>
        <w:tblStyle w:val="4"/>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2977"/>
        <w:gridCol w:w="2268"/>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2"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原料类型</w:t>
            </w:r>
          </w:p>
        </w:tc>
        <w:tc>
          <w:tcPr>
            <w:tcW w:w="2977"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吨氨综合能耗</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（千克标准煤）</w:t>
            </w:r>
          </w:p>
        </w:tc>
        <w:tc>
          <w:tcPr>
            <w:tcW w:w="226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吨氨电耗</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（千瓦时）</w:t>
            </w:r>
          </w:p>
        </w:tc>
        <w:tc>
          <w:tcPr>
            <w:tcW w:w="1203"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2"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优质无烟块煤</w:t>
            </w:r>
          </w:p>
        </w:tc>
        <w:tc>
          <w:tcPr>
            <w:tcW w:w="2977" w:type="dxa"/>
            <w:vAlign w:val="center"/>
          </w:tcPr>
          <w:p>
            <w:pPr>
              <w:jc w:val="center"/>
              <w:rPr>
                <w:rFonts w:ascii="Times New Roman" w:hAnsi="Times New Roman" w:eastAsia="仿宋"/>
                <w:b w:val="0"/>
                <w:sz w:val="24"/>
                <w:szCs w:val="24"/>
              </w:rPr>
            </w:pPr>
          </w:p>
        </w:tc>
        <w:tc>
          <w:tcPr>
            <w:tcW w:w="2268" w:type="dxa"/>
            <w:vAlign w:val="center"/>
          </w:tcPr>
          <w:p>
            <w:pPr>
              <w:jc w:val="center"/>
              <w:rPr>
                <w:rFonts w:ascii="Times New Roman" w:hAnsi="Times New Roman" w:eastAsia="仿宋"/>
                <w:b w:val="0"/>
                <w:sz w:val="24"/>
                <w:szCs w:val="24"/>
              </w:rPr>
            </w:pPr>
          </w:p>
        </w:tc>
        <w:tc>
          <w:tcPr>
            <w:tcW w:w="1203" w:type="dxa"/>
            <w:vAlign w:val="center"/>
          </w:tcPr>
          <w:p>
            <w:pPr>
              <w:jc w:val="center"/>
              <w:rPr>
                <w:rFonts w:ascii="Times New Roman" w:hAnsi="Times New Roman" w:eastAsia="仿宋"/>
                <w:b w:val="0"/>
                <w:sz w:val="24"/>
                <w:szCs w:val="24"/>
              </w:rPr>
            </w:pPr>
          </w:p>
          <w:p>
            <w:pPr>
              <w:jc w:val="center"/>
              <w:rPr>
                <w:rFonts w:ascii="Times New Roman" w:hAnsi="Times New Roman" w:eastAsia="仿宋"/>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2"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非优质无烟块煤（型煤）</w:t>
            </w:r>
          </w:p>
        </w:tc>
        <w:tc>
          <w:tcPr>
            <w:tcW w:w="2977" w:type="dxa"/>
            <w:vAlign w:val="center"/>
          </w:tcPr>
          <w:p>
            <w:pPr>
              <w:jc w:val="center"/>
              <w:rPr>
                <w:rFonts w:ascii="Times New Roman" w:hAnsi="Times New Roman" w:eastAsia="仿宋"/>
                <w:b w:val="0"/>
                <w:sz w:val="24"/>
                <w:szCs w:val="24"/>
              </w:rPr>
            </w:pPr>
          </w:p>
        </w:tc>
        <w:tc>
          <w:tcPr>
            <w:tcW w:w="2268" w:type="dxa"/>
            <w:vAlign w:val="center"/>
          </w:tcPr>
          <w:p>
            <w:pPr>
              <w:jc w:val="center"/>
              <w:rPr>
                <w:rFonts w:ascii="Times New Roman" w:hAnsi="Times New Roman" w:eastAsia="仿宋"/>
                <w:b w:val="0"/>
                <w:sz w:val="24"/>
                <w:szCs w:val="24"/>
              </w:rPr>
            </w:pPr>
          </w:p>
        </w:tc>
        <w:tc>
          <w:tcPr>
            <w:tcW w:w="1203" w:type="dxa"/>
            <w:vAlign w:val="center"/>
          </w:tcPr>
          <w:p>
            <w:pPr>
              <w:jc w:val="center"/>
              <w:rPr>
                <w:rFonts w:ascii="Times New Roman" w:hAnsi="Times New Roman" w:eastAsia="仿宋"/>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2"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烟煤（包括褐煤）</w:t>
            </w:r>
          </w:p>
        </w:tc>
        <w:tc>
          <w:tcPr>
            <w:tcW w:w="2977" w:type="dxa"/>
            <w:vAlign w:val="center"/>
          </w:tcPr>
          <w:p>
            <w:pPr>
              <w:jc w:val="center"/>
              <w:rPr>
                <w:rFonts w:ascii="Times New Roman" w:hAnsi="Times New Roman" w:eastAsia="仿宋"/>
                <w:b w:val="0"/>
                <w:sz w:val="24"/>
                <w:szCs w:val="24"/>
              </w:rPr>
            </w:pPr>
          </w:p>
        </w:tc>
        <w:tc>
          <w:tcPr>
            <w:tcW w:w="2268" w:type="dxa"/>
            <w:vAlign w:val="center"/>
          </w:tcPr>
          <w:p>
            <w:pPr>
              <w:jc w:val="center"/>
              <w:rPr>
                <w:rFonts w:ascii="Times New Roman" w:hAnsi="Times New Roman" w:eastAsia="仿宋"/>
                <w:b w:val="0"/>
                <w:sz w:val="24"/>
                <w:szCs w:val="24"/>
              </w:rPr>
            </w:pPr>
          </w:p>
        </w:tc>
        <w:tc>
          <w:tcPr>
            <w:tcW w:w="1203" w:type="dxa"/>
            <w:vAlign w:val="center"/>
          </w:tcPr>
          <w:p>
            <w:pPr>
              <w:jc w:val="center"/>
              <w:rPr>
                <w:rFonts w:ascii="Times New Roman" w:hAnsi="Times New Roman" w:eastAsia="仿宋"/>
                <w:b w:val="0"/>
                <w:sz w:val="24"/>
                <w:szCs w:val="24"/>
              </w:rPr>
            </w:pPr>
          </w:p>
          <w:p>
            <w:pPr>
              <w:jc w:val="center"/>
              <w:rPr>
                <w:rFonts w:ascii="Times New Roman" w:hAnsi="Times New Roman" w:eastAsia="仿宋"/>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2"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天然气</w:t>
            </w:r>
          </w:p>
        </w:tc>
        <w:tc>
          <w:tcPr>
            <w:tcW w:w="2977" w:type="dxa"/>
            <w:vAlign w:val="center"/>
          </w:tcPr>
          <w:p>
            <w:pPr>
              <w:jc w:val="center"/>
              <w:rPr>
                <w:rFonts w:ascii="Times New Roman" w:hAnsi="Times New Roman" w:eastAsia="仿宋"/>
                <w:b w:val="0"/>
                <w:sz w:val="24"/>
                <w:szCs w:val="24"/>
              </w:rPr>
            </w:pPr>
          </w:p>
        </w:tc>
        <w:tc>
          <w:tcPr>
            <w:tcW w:w="2268" w:type="dxa"/>
            <w:vAlign w:val="center"/>
          </w:tcPr>
          <w:p>
            <w:pPr>
              <w:jc w:val="center"/>
              <w:rPr>
                <w:rFonts w:ascii="Times New Roman" w:hAnsi="Times New Roman" w:eastAsia="仿宋"/>
                <w:b w:val="0"/>
                <w:sz w:val="24"/>
                <w:szCs w:val="24"/>
              </w:rPr>
            </w:pPr>
          </w:p>
        </w:tc>
        <w:tc>
          <w:tcPr>
            <w:tcW w:w="1203" w:type="dxa"/>
            <w:vAlign w:val="center"/>
          </w:tcPr>
          <w:p>
            <w:pPr>
              <w:jc w:val="center"/>
              <w:rPr>
                <w:rFonts w:ascii="Times New Roman" w:hAnsi="Times New Roman" w:eastAsia="仿宋"/>
                <w:b w:val="0"/>
                <w:sz w:val="24"/>
                <w:szCs w:val="24"/>
              </w:rPr>
            </w:pPr>
          </w:p>
          <w:p>
            <w:pPr>
              <w:jc w:val="center"/>
              <w:rPr>
                <w:rFonts w:ascii="Times New Roman" w:hAnsi="Times New Roman" w:eastAsia="仿宋"/>
                <w:b w:val="0"/>
                <w:sz w:val="24"/>
                <w:szCs w:val="24"/>
              </w:rPr>
            </w:pPr>
          </w:p>
        </w:tc>
      </w:tr>
    </w:tbl>
    <w:p>
      <w:pPr>
        <w:rPr>
          <w:rFonts w:ascii="Times New Roman" w:hAnsi="Times New Roman" w:eastAsia="仿宋"/>
          <w:b w:val="0"/>
          <w:sz w:val="24"/>
          <w:szCs w:val="24"/>
          <w:u w:val="single"/>
        </w:rPr>
      </w:pPr>
      <w:r>
        <w:rPr>
          <w:rFonts w:hint="eastAsia" w:ascii="Times New Roman" w:hAnsi="Times New Roman" w:eastAsia="仿宋"/>
          <w:b w:val="0"/>
          <w:sz w:val="24"/>
          <w:szCs w:val="24"/>
        </w:rPr>
        <w:t>填报人：   联系电话：   填报日期：</w:t>
      </w:r>
    </w:p>
    <w:p>
      <w:pPr>
        <w:spacing w:line="480" w:lineRule="exact"/>
        <w:ind w:firstLine="594" w:firstLineChars="198"/>
        <w:rPr>
          <w:rFonts w:ascii="Times New Roman" w:hAnsi="Times New Roman" w:eastAsia="黑体"/>
          <w:b w:val="0"/>
          <w:sz w:val="30"/>
          <w:szCs w:val="30"/>
        </w:rPr>
      </w:pPr>
    </w:p>
    <w:p>
      <w:pPr>
        <w:spacing w:line="480" w:lineRule="exact"/>
        <w:ind w:firstLine="594" w:firstLineChars="198"/>
        <w:rPr>
          <w:rFonts w:ascii="Times New Roman" w:hAnsi="Times New Roman" w:eastAsia="黑体"/>
          <w:b w:val="0"/>
          <w:sz w:val="30"/>
          <w:szCs w:val="30"/>
        </w:rPr>
      </w:pPr>
      <w:r>
        <w:rPr>
          <w:rFonts w:hint="eastAsia" w:ascii="Times New Roman" w:hAnsi="Times New Roman" w:eastAsia="黑体"/>
          <w:b w:val="0"/>
          <w:sz w:val="30"/>
          <w:szCs w:val="30"/>
        </w:rPr>
        <w:t>九、甲醇</w:t>
      </w:r>
    </w:p>
    <w:p>
      <w:pPr>
        <w:spacing w:line="480" w:lineRule="exact"/>
        <w:ind w:firstLine="600" w:firstLineChars="200"/>
        <w:rPr>
          <w:rFonts w:ascii="Times New Roman" w:hAnsi="Times New Roman" w:eastAsia="仿宋"/>
          <w:b w:val="0"/>
          <w:sz w:val="30"/>
          <w:szCs w:val="30"/>
        </w:rPr>
      </w:pPr>
      <w:r>
        <w:rPr>
          <w:rFonts w:hint="eastAsia" w:ascii="Times New Roman" w:hAnsi="Times New Roman" w:eastAsia="仿宋"/>
          <w:b w:val="0"/>
          <w:sz w:val="30"/>
          <w:szCs w:val="30"/>
        </w:rPr>
        <w:t>按照原料类型分别统计生产企业报告期内吨甲醇产品综合能源消耗量和用电量（见表9）。统计范围和计算方法按照《甲醇单位产品能源消耗限额第1部分：煤制甲醇》（</w:t>
      </w:r>
      <w:r>
        <w:rPr>
          <w:rFonts w:ascii="Times New Roman" w:hAnsi="Times New Roman" w:eastAsia="仿宋"/>
          <w:b w:val="0"/>
          <w:sz w:val="30"/>
          <w:szCs w:val="30"/>
        </w:rPr>
        <w:t>GB 29436.1</w:t>
      </w:r>
      <w:r>
        <w:rPr>
          <w:rFonts w:hint="eastAsia" w:ascii="Times New Roman" w:hAnsi="Times New Roman" w:eastAsia="仿宋"/>
          <w:b w:val="0"/>
          <w:sz w:val="30"/>
          <w:szCs w:val="30"/>
        </w:rPr>
        <w:t>）、《甲醇单位产品能源消耗限额第2部分：天然气制甲醇》（</w:t>
      </w:r>
      <w:r>
        <w:rPr>
          <w:rFonts w:ascii="Times New Roman" w:hAnsi="Times New Roman" w:eastAsia="仿宋"/>
          <w:b w:val="0"/>
          <w:sz w:val="30"/>
          <w:szCs w:val="30"/>
        </w:rPr>
        <w:t>GB 29436.2</w:t>
      </w:r>
      <w:r>
        <w:rPr>
          <w:rFonts w:hint="eastAsia" w:ascii="Times New Roman" w:hAnsi="Times New Roman" w:eastAsia="仿宋"/>
          <w:b w:val="0"/>
          <w:sz w:val="30"/>
          <w:szCs w:val="30"/>
        </w:rPr>
        <w:t>）和《甲醇单位产品能源消耗限额第4部分：焦炉气制甲醇》（</w:t>
      </w:r>
      <w:r>
        <w:rPr>
          <w:rFonts w:ascii="Times New Roman" w:hAnsi="Times New Roman" w:eastAsia="仿宋"/>
          <w:b w:val="0"/>
          <w:sz w:val="30"/>
          <w:szCs w:val="30"/>
        </w:rPr>
        <w:t>GB 29436.</w:t>
      </w:r>
      <w:r>
        <w:rPr>
          <w:rFonts w:hint="eastAsia" w:ascii="Times New Roman" w:hAnsi="Times New Roman" w:eastAsia="仿宋"/>
          <w:b w:val="0"/>
          <w:sz w:val="30"/>
          <w:szCs w:val="30"/>
        </w:rPr>
        <w:t>4）的规定进行。</w:t>
      </w:r>
    </w:p>
    <w:p>
      <w:pPr>
        <w:jc w:val="center"/>
        <w:rPr>
          <w:rFonts w:ascii="Times New Roman" w:hAnsi="Times New Roman" w:eastAsia="仿宋"/>
          <w:b w:val="0"/>
          <w:sz w:val="24"/>
          <w:szCs w:val="24"/>
        </w:rPr>
      </w:pPr>
      <w:r>
        <w:rPr>
          <w:rFonts w:hint="eastAsia" w:ascii="Times New Roman" w:hAnsi="Times New Roman" w:eastAsia="仿宋"/>
          <w:b w:val="0"/>
          <w:sz w:val="24"/>
          <w:szCs w:val="24"/>
        </w:rPr>
        <w:t>表9 甲醇综合能源消耗量和用电量统计表</w:t>
      </w:r>
    </w:p>
    <w:p>
      <w:pPr>
        <w:rPr>
          <w:rFonts w:ascii="Times New Roman" w:hAnsi="Times New Roman" w:eastAsia="仿宋"/>
          <w:b w:val="0"/>
          <w:sz w:val="24"/>
          <w:szCs w:val="24"/>
        </w:rPr>
      </w:pPr>
      <w:r>
        <w:rPr>
          <w:rFonts w:hint="eastAsia" w:ascii="Times New Roman" w:hAnsi="Times New Roman" w:eastAsia="仿宋"/>
          <w:b w:val="0"/>
          <w:sz w:val="24"/>
          <w:szCs w:val="24"/>
        </w:rPr>
        <w:t>单位：</w:t>
      </w:r>
      <w:r>
        <w:rPr>
          <w:rFonts w:hint="eastAsia" w:ascii="Times New Roman" w:hAnsi="Times New Roman" w:eastAsia="仿宋"/>
          <w:b w:val="0"/>
          <w:sz w:val="24"/>
          <w:szCs w:val="24"/>
          <w:u w:val="single"/>
        </w:rPr>
        <w:t xml:space="preserve">×××企业          </w:t>
      </w:r>
      <w:r>
        <w:rPr>
          <w:rFonts w:hint="eastAsia" w:ascii="Times New Roman" w:hAnsi="Times New Roman" w:eastAsia="仿宋"/>
          <w:b w:val="0"/>
          <w:sz w:val="24"/>
          <w:szCs w:val="24"/>
        </w:rPr>
        <w:t xml:space="preserve">         报告期：2022年1月1日—12月31日</w:t>
      </w:r>
    </w:p>
    <w:tbl>
      <w:tblPr>
        <w:tblStyle w:val="4"/>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700"/>
        <w:gridCol w:w="259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原料类型</w:t>
            </w:r>
          </w:p>
        </w:tc>
        <w:tc>
          <w:tcPr>
            <w:tcW w:w="2700"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吨甲醇综合能耗</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（千克标准煤）</w:t>
            </w:r>
          </w:p>
        </w:tc>
        <w:tc>
          <w:tcPr>
            <w:tcW w:w="2592"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吨甲醇电耗</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（千瓦时）</w:t>
            </w:r>
          </w:p>
        </w:tc>
        <w:tc>
          <w:tcPr>
            <w:tcW w:w="1440"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vAlign w:val="center"/>
          </w:tcPr>
          <w:p>
            <w:pPr>
              <w:spacing w:line="480" w:lineRule="auto"/>
              <w:jc w:val="center"/>
              <w:rPr>
                <w:rFonts w:ascii="Times New Roman" w:hAnsi="Times New Roman" w:eastAsia="仿宋"/>
                <w:b w:val="0"/>
                <w:sz w:val="24"/>
                <w:szCs w:val="24"/>
              </w:rPr>
            </w:pPr>
            <w:r>
              <w:rPr>
                <w:rFonts w:hint="eastAsia" w:ascii="Times New Roman" w:hAnsi="Times New Roman" w:eastAsia="仿宋"/>
                <w:b w:val="0"/>
                <w:sz w:val="24"/>
                <w:szCs w:val="24"/>
              </w:rPr>
              <w:t>烟煤（包括褐煤）</w:t>
            </w:r>
          </w:p>
        </w:tc>
        <w:tc>
          <w:tcPr>
            <w:tcW w:w="2700" w:type="dxa"/>
            <w:vAlign w:val="center"/>
          </w:tcPr>
          <w:p>
            <w:pPr>
              <w:jc w:val="center"/>
              <w:rPr>
                <w:rFonts w:ascii="Times New Roman" w:hAnsi="Times New Roman" w:eastAsia="仿宋"/>
                <w:b w:val="0"/>
                <w:sz w:val="24"/>
                <w:szCs w:val="24"/>
              </w:rPr>
            </w:pPr>
          </w:p>
        </w:tc>
        <w:tc>
          <w:tcPr>
            <w:tcW w:w="2592" w:type="dxa"/>
            <w:vAlign w:val="center"/>
          </w:tcPr>
          <w:p>
            <w:pPr>
              <w:jc w:val="center"/>
              <w:rPr>
                <w:rFonts w:ascii="Times New Roman" w:hAnsi="Times New Roman" w:eastAsia="仿宋"/>
                <w:b w:val="0"/>
                <w:sz w:val="24"/>
                <w:szCs w:val="24"/>
              </w:rPr>
            </w:pPr>
          </w:p>
        </w:tc>
        <w:tc>
          <w:tcPr>
            <w:tcW w:w="1440" w:type="dxa"/>
            <w:vAlign w:val="center"/>
          </w:tcPr>
          <w:p>
            <w:pPr>
              <w:jc w:val="center"/>
              <w:rPr>
                <w:rFonts w:ascii="Times New Roman" w:hAnsi="Times New Roman" w:eastAsia="仿宋"/>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天然气</w:t>
            </w:r>
          </w:p>
        </w:tc>
        <w:tc>
          <w:tcPr>
            <w:tcW w:w="2700" w:type="dxa"/>
            <w:vAlign w:val="center"/>
          </w:tcPr>
          <w:p>
            <w:pPr>
              <w:jc w:val="center"/>
              <w:rPr>
                <w:rFonts w:ascii="Times New Roman" w:hAnsi="Times New Roman" w:eastAsia="仿宋"/>
                <w:b w:val="0"/>
                <w:sz w:val="24"/>
                <w:szCs w:val="24"/>
              </w:rPr>
            </w:pPr>
          </w:p>
        </w:tc>
        <w:tc>
          <w:tcPr>
            <w:tcW w:w="2592" w:type="dxa"/>
            <w:vAlign w:val="center"/>
          </w:tcPr>
          <w:p>
            <w:pPr>
              <w:jc w:val="center"/>
              <w:rPr>
                <w:rFonts w:ascii="Times New Roman" w:hAnsi="Times New Roman" w:eastAsia="仿宋"/>
                <w:b w:val="0"/>
                <w:sz w:val="24"/>
                <w:szCs w:val="24"/>
              </w:rPr>
            </w:pPr>
          </w:p>
        </w:tc>
        <w:tc>
          <w:tcPr>
            <w:tcW w:w="1440" w:type="dxa"/>
            <w:vAlign w:val="center"/>
          </w:tcPr>
          <w:p>
            <w:pPr>
              <w:jc w:val="center"/>
              <w:rPr>
                <w:rFonts w:ascii="Times New Roman" w:hAnsi="Times New Roman" w:eastAsia="仿宋"/>
                <w:b w:val="0"/>
                <w:sz w:val="24"/>
                <w:szCs w:val="24"/>
              </w:rPr>
            </w:pPr>
          </w:p>
          <w:p>
            <w:pPr>
              <w:jc w:val="center"/>
              <w:rPr>
                <w:rFonts w:ascii="Times New Roman" w:hAnsi="Times New Roman" w:eastAsia="仿宋"/>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焦炉气</w:t>
            </w:r>
          </w:p>
        </w:tc>
        <w:tc>
          <w:tcPr>
            <w:tcW w:w="2700" w:type="dxa"/>
            <w:vAlign w:val="center"/>
          </w:tcPr>
          <w:p>
            <w:pPr>
              <w:jc w:val="center"/>
              <w:rPr>
                <w:rFonts w:ascii="Times New Roman" w:hAnsi="Times New Roman" w:eastAsia="仿宋"/>
                <w:b w:val="0"/>
                <w:sz w:val="24"/>
                <w:szCs w:val="24"/>
              </w:rPr>
            </w:pPr>
          </w:p>
        </w:tc>
        <w:tc>
          <w:tcPr>
            <w:tcW w:w="2592" w:type="dxa"/>
            <w:vAlign w:val="center"/>
          </w:tcPr>
          <w:p>
            <w:pPr>
              <w:jc w:val="center"/>
              <w:rPr>
                <w:rFonts w:ascii="Times New Roman" w:hAnsi="Times New Roman" w:eastAsia="仿宋"/>
                <w:b w:val="0"/>
                <w:sz w:val="24"/>
                <w:szCs w:val="24"/>
              </w:rPr>
            </w:pPr>
          </w:p>
        </w:tc>
        <w:tc>
          <w:tcPr>
            <w:tcW w:w="1440" w:type="dxa"/>
            <w:vAlign w:val="center"/>
          </w:tcPr>
          <w:p>
            <w:pPr>
              <w:jc w:val="center"/>
              <w:rPr>
                <w:rFonts w:ascii="Times New Roman" w:hAnsi="Times New Roman" w:eastAsia="仿宋"/>
                <w:b w:val="0"/>
                <w:sz w:val="24"/>
                <w:szCs w:val="24"/>
              </w:rPr>
            </w:pPr>
          </w:p>
          <w:p>
            <w:pPr>
              <w:jc w:val="center"/>
              <w:rPr>
                <w:rFonts w:ascii="Times New Roman" w:hAnsi="Times New Roman" w:eastAsia="仿宋"/>
                <w:b w:val="0"/>
                <w:sz w:val="24"/>
                <w:szCs w:val="24"/>
              </w:rPr>
            </w:pPr>
          </w:p>
        </w:tc>
      </w:tr>
    </w:tbl>
    <w:p>
      <w:pPr>
        <w:rPr>
          <w:rFonts w:ascii="Times New Roman" w:hAnsi="Times New Roman" w:eastAsia="仿宋"/>
          <w:b w:val="0"/>
          <w:sz w:val="24"/>
          <w:szCs w:val="24"/>
          <w:u w:val="single"/>
        </w:rPr>
      </w:pPr>
      <w:r>
        <w:rPr>
          <w:rFonts w:hint="eastAsia" w:ascii="Times New Roman" w:hAnsi="Times New Roman" w:eastAsia="仿宋"/>
          <w:b w:val="0"/>
          <w:sz w:val="24"/>
          <w:szCs w:val="24"/>
        </w:rPr>
        <w:t>填报人：   联系电话：   填报日期：</w:t>
      </w:r>
    </w:p>
    <w:p>
      <w:pPr>
        <w:spacing w:line="480" w:lineRule="exact"/>
        <w:ind w:firstLine="600" w:firstLineChars="200"/>
        <w:rPr>
          <w:rFonts w:ascii="Times New Roman" w:hAnsi="Times New Roman" w:eastAsia="黑体"/>
          <w:b w:val="0"/>
          <w:sz w:val="30"/>
          <w:szCs w:val="30"/>
        </w:rPr>
      </w:pPr>
    </w:p>
    <w:p>
      <w:pPr>
        <w:spacing w:line="480" w:lineRule="exact"/>
        <w:ind w:firstLine="600" w:firstLineChars="200"/>
        <w:rPr>
          <w:rFonts w:ascii="Times New Roman" w:hAnsi="Times New Roman" w:eastAsia="黑体"/>
          <w:b w:val="0"/>
          <w:sz w:val="30"/>
          <w:szCs w:val="30"/>
        </w:rPr>
      </w:pPr>
      <w:r>
        <w:rPr>
          <w:rFonts w:hint="eastAsia" w:ascii="Times New Roman" w:hAnsi="Times New Roman" w:eastAsia="黑体"/>
          <w:b w:val="0"/>
          <w:sz w:val="30"/>
          <w:szCs w:val="30"/>
        </w:rPr>
        <w:t>十、磷酸一铵</w:t>
      </w:r>
    </w:p>
    <w:p>
      <w:pPr>
        <w:spacing w:line="480" w:lineRule="exact"/>
        <w:ind w:firstLine="600" w:firstLineChars="200"/>
        <w:rPr>
          <w:rFonts w:ascii="Times New Roman" w:hAnsi="Times New Roman" w:eastAsia="仿宋"/>
          <w:b w:val="0"/>
          <w:sz w:val="30"/>
          <w:szCs w:val="30"/>
        </w:rPr>
      </w:pPr>
      <w:r>
        <w:rPr>
          <w:rFonts w:hint="eastAsia" w:ascii="Times New Roman" w:hAnsi="Times New Roman" w:eastAsia="仿宋"/>
          <w:b w:val="0"/>
          <w:sz w:val="30"/>
          <w:szCs w:val="30"/>
        </w:rPr>
        <w:t>按照生产工艺类型分别统计生产企业报告期内吨磷酸一铵产品（折纯P</w:t>
      </w:r>
      <w:r>
        <w:rPr>
          <w:rFonts w:hint="eastAsia" w:ascii="Times New Roman" w:hAnsi="Times New Roman" w:eastAsia="仿宋"/>
          <w:b w:val="0"/>
          <w:sz w:val="30"/>
          <w:szCs w:val="30"/>
          <w:vertAlign w:val="subscript"/>
        </w:rPr>
        <w:t>2</w:t>
      </w:r>
      <w:r>
        <w:rPr>
          <w:rFonts w:hint="eastAsia" w:ascii="Times New Roman" w:hAnsi="Times New Roman" w:eastAsia="仿宋"/>
          <w:b w:val="0"/>
          <w:sz w:val="30"/>
          <w:szCs w:val="30"/>
        </w:rPr>
        <w:t>O</w:t>
      </w:r>
      <w:r>
        <w:rPr>
          <w:rFonts w:hint="eastAsia" w:ascii="Times New Roman" w:hAnsi="Times New Roman" w:eastAsia="仿宋"/>
          <w:b w:val="0"/>
          <w:sz w:val="30"/>
          <w:szCs w:val="30"/>
          <w:vertAlign w:val="subscript"/>
        </w:rPr>
        <w:t>5</w:t>
      </w:r>
      <w:r>
        <w:rPr>
          <w:rFonts w:hint="eastAsia" w:ascii="Times New Roman" w:hAnsi="Times New Roman" w:eastAsia="仿宋"/>
          <w:b w:val="0"/>
          <w:sz w:val="30"/>
          <w:szCs w:val="30"/>
        </w:rPr>
        <w:t>）综合能源消耗量和用电量（见表10）。统计范围和计算方法按照《磷酸一铵单位产品能源消耗限额》（GB 29138）的规定进行。</w:t>
      </w:r>
    </w:p>
    <w:p>
      <w:pPr>
        <w:jc w:val="center"/>
        <w:rPr>
          <w:rFonts w:ascii="Times New Roman" w:hAnsi="Times New Roman" w:eastAsia="仿宋"/>
          <w:b w:val="0"/>
          <w:sz w:val="24"/>
          <w:szCs w:val="24"/>
        </w:rPr>
      </w:pPr>
      <w:r>
        <w:rPr>
          <w:rFonts w:hint="eastAsia" w:ascii="Times New Roman" w:hAnsi="Times New Roman" w:eastAsia="仿宋"/>
          <w:b w:val="0"/>
          <w:sz w:val="24"/>
          <w:szCs w:val="24"/>
        </w:rPr>
        <w:t>表10磷酸一铵综合能源消耗量和用电量统计表</w:t>
      </w:r>
    </w:p>
    <w:p>
      <w:pPr>
        <w:rPr>
          <w:rFonts w:ascii="Times New Roman" w:hAnsi="Times New Roman" w:eastAsia="仿宋"/>
          <w:b w:val="0"/>
          <w:sz w:val="24"/>
          <w:szCs w:val="24"/>
        </w:rPr>
      </w:pPr>
      <w:r>
        <w:rPr>
          <w:rFonts w:hint="eastAsia" w:ascii="Times New Roman" w:hAnsi="Times New Roman" w:eastAsia="仿宋"/>
          <w:b w:val="0"/>
          <w:sz w:val="24"/>
          <w:szCs w:val="24"/>
        </w:rPr>
        <w:t>单位：</w:t>
      </w:r>
      <w:r>
        <w:rPr>
          <w:rFonts w:hint="eastAsia" w:ascii="Times New Roman" w:hAnsi="Times New Roman" w:eastAsia="仿宋"/>
          <w:b w:val="0"/>
          <w:sz w:val="24"/>
          <w:szCs w:val="24"/>
          <w:u w:val="single"/>
        </w:rPr>
        <w:t xml:space="preserve">×××企业          </w:t>
      </w:r>
      <w:r>
        <w:rPr>
          <w:rFonts w:hint="eastAsia" w:ascii="Times New Roman" w:hAnsi="Times New Roman" w:eastAsia="仿宋"/>
          <w:b w:val="0"/>
          <w:sz w:val="24"/>
          <w:szCs w:val="24"/>
        </w:rPr>
        <w:t xml:space="preserve">         报告期：2022年1月1日—12月31日</w:t>
      </w:r>
    </w:p>
    <w:tbl>
      <w:tblPr>
        <w:tblStyle w:val="4"/>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260"/>
        <w:gridCol w:w="2700"/>
        <w:gridCol w:w="2340"/>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生产工艺</w:t>
            </w:r>
          </w:p>
        </w:tc>
        <w:tc>
          <w:tcPr>
            <w:tcW w:w="1260"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产品类型</w:t>
            </w:r>
          </w:p>
        </w:tc>
        <w:tc>
          <w:tcPr>
            <w:tcW w:w="2700"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吨P2O5综合能耗</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（千克标准煤）</w:t>
            </w:r>
          </w:p>
        </w:tc>
        <w:tc>
          <w:tcPr>
            <w:tcW w:w="2340"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吨P2O5电耗</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（千瓦时）</w:t>
            </w:r>
          </w:p>
        </w:tc>
        <w:tc>
          <w:tcPr>
            <w:tcW w:w="1512"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传统法</w:t>
            </w:r>
          </w:p>
        </w:tc>
        <w:tc>
          <w:tcPr>
            <w:tcW w:w="1260"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粒状</w:t>
            </w:r>
          </w:p>
        </w:tc>
        <w:tc>
          <w:tcPr>
            <w:tcW w:w="2700" w:type="dxa"/>
            <w:vAlign w:val="center"/>
          </w:tcPr>
          <w:p>
            <w:pPr>
              <w:jc w:val="center"/>
              <w:rPr>
                <w:rFonts w:ascii="Times New Roman" w:hAnsi="Times New Roman" w:eastAsia="仿宋"/>
                <w:b w:val="0"/>
                <w:sz w:val="24"/>
                <w:szCs w:val="24"/>
              </w:rPr>
            </w:pPr>
          </w:p>
        </w:tc>
        <w:tc>
          <w:tcPr>
            <w:tcW w:w="2340" w:type="dxa"/>
            <w:vAlign w:val="center"/>
          </w:tcPr>
          <w:p>
            <w:pPr>
              <w:jc w:val="center"/>
              <w:rPr>
                <w:rFonts w:ascii="Times New Roman" w:hAnsi="Times New Roman" w:eastAsia="仿宋"/>
                <w:b w:val="0"/>
                <w:sz w:val="24"/>
                <w:szCs w:val="24"/>
              </w:rPr>
            </w:pPr>
          </w:p>
        </w:tc>
        <w:tc>
          <w:tcPr>
            <w:tcW w:w="1512" w:type="dxa"/>
            <w:vAlign w:val="center"/>
          </w:tcPr>
          <w:p>
            <w:pPr>
              <w:jc w:val="center"/>
              <w:rPr>
                <w:rFonts w:ascii="Times New Roman" w:hAnsi="Times New Roman" w:eastAsia="仿宋"/>
                <w:b w:val="0"/>
                <w:sz w:val="24"/>
                <w:szCs w:val="24"/>
              </w:rPr>
            </w:pPr>
          </w:p>
          <w:p>
            <w:pPr>
              <w:jc w:val="center"/>
              <w:rPr>
                <w:rFonts w:ascii="Times New Roman" w:hAnsi="Times New Roman" w:eastAsia="仿宋"/>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料浆法</w:t>
            </w:r>
          </w:p>
        </w:tc>
        <w:tc>
          <w:tcPr>
            <w:tcW w:w="1260"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粒状</w:t>
            </w:r>
          </w:p>
        </w:tc>
        <w:tc>
          <w:tcPr>
            <w:tcW w:w="2700" w:type="dxa"/>
            <w:vAlign w:val="center"/>
          </w:tcPr>
          <w:p>
            <w:pPr>
              <w:jc w:val="center"/>
              <w:rPr>
                <w:rFonts w:ascii="Times New Roman" w:hAnsi="Times New Roman" w:eastAsia="仿宋"/>
                <w:b w:val="0"/>
                <w:sz w:val="24"/>
                <w:szCs w:val="24"/>
              </w:rPr>
            </w:pPr>
          </w:p>
        </w:tc>
        <w:tc>
          <w:tcPr>
            <w:tcW w:w="2340" w:type="dxa"/>
            <w:vAlign w:val="center"/>
          </w:tcPr>
          <w:p>
            <w:pPr>
              <w:jc w:val="center"/>
              <w:rPr>
                <w:rFonts w:ascii="Times New Roman" w:hAnsi="Times New Roman" w:eastAsia="仿宋"/>
                <w:b w:val="0"/>
                <w:sz w:val="24"/>
                <w:szCs w:val="24"/>
              </w:rPr>
            </w:pPr>
          </w:p>
        </w:tc>
        <w:tc>
          <w:tcPr>
            <w:tcW w:w="1512" w:type="dxa"/>
            <w:vAlign w:val="center"/>
          </w:tcPr>
          <w:p>
            <w:pPr>
              <w:jc w:val="center"/>
              <w:rPr>
                <w:rFonts w:ascii="Times New Roman" w:hAnsi="Times New Roman" w:eastAsia="仿宋"/>
                <w:b w:val="0"/>
                <w:sz w:val="24"/>
                <w:szCs w:val="24"/>
              </w:rPr>
            </w:pPr>
          </w:p>
          <w:p>
            <w:pPr>
              <w:jc w:val="center"/>
              <w:rPr>
                <w:rFonts w:ascii="Times New Roman" w:hAnsi="Times New Roman" w:eastAsia="仿宋"/>
                <w:b w:val="0"/>
                <w:sz w:val="24"/>
                <w:szCs w:val="24"/>
              </w:rPr>
            </w:pPr>
          </w:p>
        </w:tc>
      </w:tr>
    </w:tbl>
    <w:p>
      <w:pPr>
        <w:rPr>
          <w:rFonts w:ascii="Times New Roman" w:hAnsi="Times New Roman" w:eastAsia="仿宋"/>
          <w:b w:val="0"/>
          <w:sz w:val="24"/>
          <w:szCs w:val="24"/>
          <w:u w:val="single"/>
        </w:rPr>
      </w:pPr>
      <w:r>
        <w:rPr>
          <w:rFonts w:hint="eastAsia" w:ascii="Times New Roman" w:hAnsi="Times New Roman" w:eastAsia="仿宋"/>
          <w:b w:val="0"/>
          <w:sz w:val="24"/>
          <w:szCs w:val="24"/>
        </w:rPr>
        <w:t>填报人：   联系电话：   填报日期：</w:t>
      </w:r>
    </w:p>
    <w:p>
      <w:pPr>
        <w:spacing w:line="480" w:lineRule="exact"/>
        <w:ind w:firstLine="600" w:firstLineChars="200"/>
        <w:rPr>
          <w:rFonts w:ascii="Times New Roman" w:hAnsi="Times New Roman" w:eastAsia="黑体"/>
          <w:b w:val="0"/>
          <w:sz w:val="30"/>
          <w:szCs w:val="30"/>
        </w:rPr>
      </w:pPr>
    </w:p>
    <w:p>
      <w:pPr>
        <w:spacing w:line="480" w:lineRule="exact"/>
        <w:ind w:firstLine="600" w:firstLineChars="200"/>
        <w:rPr>
          <w:rFonts w:ascii="Times New Roman" w:hAnsi="Times New Roman" w:eastAsia="黑体"/>
          <w:b w:val="0"/>
          <w:sz w:val="30"/>
          <w:szCs w:val="30"/>
        </w:rPr>
      </w:pPr>
      <w:r>
        <w:rPr>
          <w:rFonts w:hint="eastAsia" w:ascii="Times New Roman" w:hAnsi="Times New Roman" w:eastAsia="黑体"/>
          <w:b w:val="0"/>
          <w:sz w:val="30"/>
          <w:szCs w:val="30"/>
        </w:rPr>
        <w:t>十一、磷酸二铵</w:t>
      </w:r>
    </w:p>
    <w:p>
      <w:pPr>
        <w:spacing w:line="480" w:lineRule="exact"/>
        <w:ind w:firstLine="600" w:firstLineChars="200"/>
        <w:rPr>
          <w:rFonts w:ascii="Times New Roman" w:hAnsi="Times New Roman" w:eastAsia="仿宋"/>
          <w:b w:val="0"/>
          <w:sz w:val="30"/>
          <w:szCs w:val="30"/>
        </w:rPr>
      </w:pPr>
      <w:r>
        <w:rPr>
          <w:rFonts w:hint="eastAsia" w:ascii="Times New Roman" w:hAnsi="Times New Roman" w:eastAsia="仿宋"/>
          <w:b w:val="0"/>
          <w:sz w:val="30"/>
          <w:szCs w:val="30"/>
        </w:rPr>
        <w:t>按照生产工艺类型分别统计生产企业报告期内吨磷酸二铵产品（折纯P</w:t>
      </w:r>
      <w:r>
        <w:rPr>
          <w:rFonts w:hint="eastAsia" w:ascii="Times New Roman" w:hAnsi="Times New Roman" w:eastAsia="仿宋"/>
          <w:b w:val="0"/>
          <w:sz w:val="30"/>
          <w:szCs w:val="30"/>
          <w:vertAlign w:val="subscript"/>
        </w:rPr>
        <w:t>2</w:t>
      </w:r>
      <w:r>
        <w:rPr>
          <w:rFonts w:hint="eastAsia" w:ascii="Times New Roman" w:hAnsi="Times New Roman" w:eastAsia="仿宋"/>
          <w:b w:val="0"/>
          <w:sz w:val="30"/>
          <w:szCs w:val="30"/>
        </w:rPr>
        <w:t>O</w:t>
      </w:r>
      <w:r>
        <w:rPr>
          <w:rFonts w:hint="eastAsia" w:ascii="Times New Roman" w:hAnsi="Times New Roman" w:eastAsia="仿宋"/>
          <w:b w:val="0"/>
          <w:sz w:val="30"/>
          <w:szCs w:val="30"/>
          <w:vertAlign w:val="subscript"/>
        </w:rPr>
        <w:t>5</w:t>
      </w:r>
      <w:r>
        <w:rPr>
          <w:rFonts w:hint="eastAsia" w:ascii="Times New Roman" w:hAnsi="Times New Roman" w:eastAsia="仿宋"/>
          <w:b w:val="0"/>
          <w:sz w:val="30"/>
          <w:szCs w:val="30"/>
        </w:rPr>
        <w:t>）综合能源消耗量和用电量（见表11）。统计范围和计算方法按照国标《磷酸二铵单位产品能源消耗限额》（GB 29139）的规定进行。</w:t>
      </w:r>
    </w:p>
    <w:p>
      <w:pPr>
        <w:jc w:val="center"/>
        <w:rPr>
          <w:rFonts w:ascii="Times New Roman" w:hAnsi="Times New Roman" w:eastAsia="仿宋"/>
          <w:b w:val="0"/>
          <w:sz w:val="24"/>
          <w:szCs w:val="24"/>
        </w:rPr>
      </w:pPr>
      <w:r>
        <w:rPr>
          <w:rFonts w:hint="eastAsia" w:ascii="Times New Roman" w:hAnsi="Times New Roman" w:eastAsia="仿宋"/>
          <w:b w:val="0"/>
          <w:sz w:val="24"/>
          <w:szCs w:val="24"/>
        </w:rPr>
        <w:t>表11磷酸二铵综合能源消耗量和用电量统计表</w:t>
      </w:r>
    </w:p>
    <w:p>
      <w:pPr>
        <w:rPr>
          <w:rFonts w:ascii="Times New Roman" w:hAnsi="Times New Roman" w:eastAsia="仿宋"/>
          <w:b w:val="0"/>
          <w:sz w:val="24"/>
          <w:szCs w:val="24"/>
        </w:rPr>
      </w:pPr>
      <w:r>
        <w:rPr>
          <w:rFonts w:hint="eastAsia" w:ascii="Times New Roman" w:hAnsi="Times New Roman" w:eastAsia="仿宋"/>
          <w:b w:val="0"/>
          <w:sz w:val="24"/>
          <w:szCs w:val="24"/>
        </w:rPr>
        <w:t>单位：</w:t>
      </w:r>
      <w:r>
        <w:rPr>
          <w:rFonts w:hint="eastAsia" w:ascii="Times New Roman" w:hAnsi="Times New Roman" w:eastAsia="仿宋"/>
          <w:b w:val="0"/>
          <w:sz w:val="24"/>
          <w:szCs w:val="24"/>
          <w:u w:val="single"/>
        </w:rPr>
        <w:t xml:space="preserve">×××企业          </w:t>
      </w:r>
      <w:r>
        <w:rPr>
          <w:rFonts w:hint="eastAsia" w:ascii="Times New Roman" w:hAnsi="Times New Roman" w:eastAsia="仿宋"/>
          <w:b w:val="0"/>
          <w:sz w:val="24"/>
          <w:szCs w:val="24"/>
        </w:rPr>
        <w:t xml:space="preserve">         报告期：2022年1月1日—12月31日</w:t>
      </w:r>
    </w:p>
    <w:tbl>
      <w:tblPr>
        <w:tblStyle w:val="4"/>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260"/>
        <w:gridCol w:w="2700"/>
        <w:gridCol w:w="2340"/>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生产工艺</w:t>
            </w:r>
          </w:p>
        </w:tc>
        <w:tc>
          <w:tcPr>
            <w:tcW w:w="1260"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产品类型</w:t>
            </w:r>
          </w:p>
        </w:tc>
        <w:tc>
          <w:tcPr>
            <w:tcW w:w="2700"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吨P2O5综合能耗</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（千克标准煤）</w:t>
            </w:r>
          </w:p>
        </w:tc>
        <w:tc>
          <w:tcPr>
            <w:tcW w:w="2340"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吨P2O5电耗</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（千瓦时）</w:t>
            </w:r>
          </w:p>
        </w:tc>
        <w:tc>
          <w:tcPr>
            <w:tcW w:w="1512"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传统法</w:t>
            </w:r>
          </w:p>
        </w:tc>
        <w:tc>
          <w:tcPr>
            <w:tcW w:w="1260"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粒状</w:t>
            </w:r>
          </w:p>
        </w:tc>
        <w:tc>
          <w:tcPr>
            <w:tcW w:w="2700" w:type="dxa"/>
            <w:vAlign w:val="center"/>
          </w:tcPr>
          <w:p>
            <w:pPr>
              <w:jc w:val="center"/>
              <w:rPr>
                <w:rFonts w:ascii="Times New Roman" w:hAnsi="Times New Roman" w:eastAsia="仿宋"/>
                <w:b w:val="0"/>
                <w:sz w:val="24"/>
                <w:szCs w:val="24"/>
              </w:rPr>
            </w:pPr>
          </w:p>
        </w:tc>
        <w:tc>
          <w:tcPr>
            <w:tcW w:w="2340" w:type="dxa"/>
            <w:vAlign w:val="center"/>
          </w:tcPr>
          <w:p>
            <w:pPr>
              <w:jc w:val="center"/>
              <w:rPr>
                <w:rFonts w:ascii="Times New Roman" w:hAnsi="Times New Roman" w:eastAsia="仿宋"/>
                <w:b w:val="0"/>
                <w:sz w:val="24"/>
                <w:szCs w:val="24"/>
              </w:rPr>
            </w:pPr>
          </w:p>
        </w:tc>
        <w:tc>
          <w:tcPr>
            <w:tcW w:w="1512" w:type="dxa"/>
            <w:vAlign w:val="center"/>
          </w:tcPr>
          <w:p>
            <w:pPr>
              <w:jc w:val="center"/>
              <w:rPr>
                <w:rFonts w:ascii="Times New Roman" w:hAnsi="Times New Roman" w:eastAsia="仿宋"/>
                <w:b w:val="0"/>
                <w:sz w:val="24"/>
                <w:szCs w:val="24"/>
              </w:rPr>
            </w:pPr>
          </w:p>
          <w:p>
            <w:pPr>
              <w:jc w:val="center"/>
              <w:rPr>
                <w:rFonts w:ascii="Times New Roman" w:hAnsi="Times New Roman" w:eastAsia="仿宋"/>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料浆法</w:t>
            </w:r>
          </w:p>
        </w:tc>
        <w:tc>
          <w:tcPr>
            <w:tcW w:w="1260"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粒状</w:t>
            </w:r>
          </w:p>
        </w:tc>
        <w:tc>
          <w:tcPr>
            <w:tcW w:w="2700" w:type="dxa"/>
            <w:vAlign w:val="center"/>
          </w:tcPr>
          <w:p>
            <w:pPr>
              <w:jc w:val="center"/>
              <w:rPr>
                <w:rFonts w:ascii="Times New Roman" w:hAnsi="Times New Roman" w:eastAsia="仿宋"/>
                <w:b w:val="0"/>
                <w:sz w:val="24"/>
                <w:szCs w:val="24"/>
              </w:rPr>
            </w:pPr>
          </w:p>
        </w:tc>
        <w:tc>
          <w:tcPr>
            <w:tcW w:w="2340" w:type="dxa"/>
            <w:vAlign w:val="center"/>
          </w:tcPr>
          <w:p>
            <w:pPr>
              <w:jc w:val="center"/>
              <w:rPr>
                <w:rFonts w:ascii="Times New Roman" w:hAnsi="Times New Roman" w:eastAsia="仿宋"/>
                <w:b w:val="0"/>
                <w:sz w:val="24"/>
                <w:szCs w:val="24"/>
              </w:rPr>
            </w:pPr>
          </w:p>
        </w:tc>
        <w:tc>
          <w:tcPr>
            <w:tcW w:w="1512" w:type="dxa"/>
            <w:vAlign w:val="center"/>
          </w:tcPr>
          <w:p>
            <w:pPr>
              <w:jc w:val="center"/>
              <w:rPr>
                <w:rFonts w:ascii="Times New Roman" w:hAnsi="Times New Roman" w:eastAsia="仿宋"/>
                <w:b w:val="0"/>
                <w:sz w:val="24"/>
                <w:szCs w:val="24"/>
              </w:rPr>
            </w:pPr>
          </w:p>
          <w:p>
            <w:pPr>
              <w:jc w:val="center"/>
              <w:rPr>
                <w:rFonts w:ascii="Times New Roman" w:hAnsi="Times New Roman" w:eastAsia="仿宋"/>
                <w:b w:val="0"/>
                <w:sz w:val="24"/>
                <w:szCs w:val="24"/>
              </w:rPr>
            </w:pPr>
          </w:p>
        </w:tc>
      </w:tr>
    </w:tbl>
    <w:p>
      <w:pPr>
        <w:rPr>
          <w:rFonts w:ascii="Times New Roman" w:hAnsi="Times New Roman" w:eastAsia="仿宋"/>
          <w:b w:val="0"/>
          <w:sz w:val="24"/>
          <w:szCs w:val="24"/>
          <w:u w:val="single"/>
        </w:rPr>
      </w:pPr>
      <w:r>
        <w:rPr>
          <w:rFonts w:hint="eastAsia" w:ascii="Times New Roman" w:hAnsi="Times New Roman" w:eastAsia="仿宋"/>
          <w:b w:val="0"/>
          <w:sz w:val="24"/>
          <w:szCs w:val="24"/>
        </w:rPr>
        <w:t>填报人：   联系电话：   填报日期：</w:t>
      </w:r>
    </w:p>
    <w:p>
      <w:pPr>
        <w:spacing w:line="480" w:lineRule="exact"/>
        <w:ind w:firstLine="594" w:firstLineChars="198"/>
        <w:rPr>
          <w:rFonts w:ascii="Times New Roman" w:hAnsi="Times New Roman" w:eastAsia="黑体"/>
          <w:b w:val="0"/>
          <w:sz w:val="30"/>
          <w:szCs w:val="30"/>
        </w:rPr>
      </w:pPr>
    </w:p>
    <w:p>
      <w:pPr>
        <w:spacing w:line="480" w:lineRule="exact"/>
        <w:ind w:firstLine="594" w:firstLineChars="198"/>
        <w:rPr>
          <w:rFonts w:ascii="Times New Roman" w:hAnsi="Times New Roman" w:eastAsia="黑体"/>
          <w:b w:val="0"/>
          <w:sz w:val="30"/>
          <w:szCs w:val="30"/>
        </w:rPr>
      </w:pPr>
      <w:r>
        <w:rPr>
          <w:rFonts w:hint="eastAsia" w:ascii="Times New Roman" w:hAnsi="Times New Roman" w:eastAsia="黑体"/>
          <w:b w:val="0"/>
          <w:sz w:val="30"/>
          <w:szCs w:val="30"/>
        </w:rPr>
        <w:t>十二、硫酸</w:t>
      </w:r>
    </w:p>
    <w:p>
      <w:pPr>
        <w:spacing w:line="480" w:lineRule="exact"/>
        <w:ind w:firstLine="600" w:firstLineChars="200"/>
        <w:rPr>
          <w:rFonts w:ascii="Times New Roman" w:hAnsi="Times New Roman" w:eastAsia="仿宋"/>
          <w:b w:val="0"/>
          <w:spacing w:val="-6"/>
          <w:sz w:val="30"/>
          <w:szCs w:val="30"/>
        </w:rPr>
      </w:pPr>
      <w:r>
        <w:rPr>
          <w:rFonts w:hint="eastAsia" w:ascii="Times New Roman" w:hAnsi="Times New Roman" w:eastAsia="仿宋"/>
          <w:b w:val="0"/>
          <w:sz w:val="30"/>
          <w:szCs w:val="30"/>
        </w:rPr>
        <w:t>按</w:t>
      </w:r>
      <w:r>
        <w:rPr>
          <w:rFonts w:hint="eastAsia" w:ascii="Times New Roman" w:hAnsi="Times New Roman" w:eastAsia="仿宋"/>
          <w:b w:val="0"/>
          <w:spacing w:val="-6"/>
          <w:sz w:val="30"/>
          <w:szCs w:val="30"/>
        </w:rPr>
        <w:t>照原料类型分别统计生产企业报告期内吨硫酸（折纯100%）产品综合能源消耗量和用电量（见表12）。统计范围和计算方法按照国标《工业硫酸单位产品能源消耗限额》（GB 29141）的规定进行。</w:t>
      </w:r>
    </w:p>
    <w:p>
      <w:pPr>
        <w:jc w:val="center"/>
        <w:rPr>
          <w:rFonts w:ascii="Times New Roman" w:hAnsi="Times New Roman" w:eastAsia="仿宋"/>
          <w:b w:val="0"/>
          <w:sz w:val="24"/>
          <w:szCs w:val="24"/>
        </w:rPr>
      </w:pPr>
      <w:r>
        <w:rPr>
          <w:rFonts w:hint="eastAsia" w:ascii="Times New Roman" w:hAnsi="Times New Roman" w:eastAsia="仿宋"/>
          <w:b w:val="0"/>
          <w:sz w:val="24"/>
          <w:szCs w:val="24"/>
        </w:rPr>
        <w:t>表12硫酸综合能源消耗量和用电量统计表</w:t>
      </w:r>
    </w:p>
    <w:p>
      <w:pPr>
        <w:rPr>
          <w:rFonts w:ascii="Times New Roman" w:hAnsi="Times New Roman" w:eastAsia="仿宋"/>
          <w:b w:val="0"/>
          <w:sz w:val="24"/>
          <w:szCs w:val="24"/>
        </w:rPr>
      </w:pPr>
      <w:r>
        <w:rPr>
          <w:rFonts w:hint="eastAsia" w:ascii="Times New Roman" w:hAnsi="Times New Roman" w:eastAsia="仿宋"/>
          <w:b w:val="0"/>
          <w:sz w:val="24"/>
          <w:szCs w:val="24"/>
        </w:rPr>
        <w:t>单位：</w:t>
      </w:r>
      <w:r>
        <w:rPr>
          <w:rFonts w:hint="eastAsia" w:ascii="Times New Roman" w:hAnsi="Times New Roman" w:eastAsia="仿宋"/>
          <w:b w:val="0"/>
          <w:sz w:val="24"/>
          <w:szCs w:val="24"/>
          <w:u w:val="single"/>
        </w:rPr>
        <w:t xml:space="preserve">×××企业          </w:t>
      </w:r>
      <w:r>
        <w:rPr>
          <w:rFonts w:hint="eastAsia" w:ascii="Times New Roman" w:hAnsi="Times New Roman" w:eastAsia="仿宋"/>
          <w:b w:val="0"/>
          <w:sz w:val="24"/>
          <w:szCs w:val="24"/>
        </w:rPr>
        <w:t xml:space="preserve">         报告期：2022年1月1日—12月31日</w:t>
      </w:r>
    </w:p>
    <w:tbl>
      <w:tblPr>
        <w:tblStyle w:val="4"/>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700"/>
        <w:gridCol w:w="2340"/>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原料类型</w:t>
            </w:r>
          </w:p>
        </w:tc>
        <w:tc>
          <w:tcPr>
            <w:tcW w:w="2700"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吨硫酸综合能耗</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（千克标准煤）</w:t>
            </w:r>
          </w:p>
        </w:tc>
        <w:tc>
          <w:tcPr>
            <w:tcW w:w="2340"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吨硫酸电耗</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（千瓦时）</w:t>
            </w:r>
          </w:p>
        </w:tc>
        <w:tc>
          <w:tcPr>
            <w:tcW w:w="1692"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硫磺</w:t>
            </w:r>
          </w:p>
        </w:tc>
        <w:tc>
          <w:tcPr>
            <w:tcW w:w="2700" w:type="dxa"/>
            <w:vAlign w:val="center"/>
          </w:tcPr>
          <w:p>
            <w:pPr>
              <w:jc w:val="center"/>
              <w:rPr>
                <w:rFonts w:ascii="Times New Roman" w:hAnsi="Times New Roman" w:eastAsia="仿宋"/>
                <w:b w:val="0"/>
                <w:sz w:val="24"/>
                <w:szCs w:val="24"/>
              </w:rPr>
            </w:pPr>
          </w:p>
        </w:tc>
        <w:tc>
          <w:tcPr>
            <w:tcW w:w="2340" w:type="dxa"/>
            <w:vAlign w:val="center"/>
          </w:tcPr>
          <w:p>
            <w:pPr>
              <w:jc w:val="center"/>
              <w:rPr>
                <w:rFonts w:ascii="Times New Roman" w:hAnsi="Times New Roman" w:eastAsia="仿宋"/>
                <w:b w:val="0"/>
                <w:sz w:val="24"/>
                <w:szCs w:val="24"/>
              </w:rPr>
            </w:pPr>
          </w:p>
        </w:tc>
        <w:tc>
          <w:tcPr>
            <w:tcW w:w="1692" w:type="dxa"/>
            <w:vAlign w:val="center"/>
          </w:tcPr>
          <w:p>
            <w:pPr>
              <w:jc w:val="center"/>
              <w:rPr>
                <w:rFonts w:ascii="Times New Roman" w:hAnsi="Times New Roman" w:eastAsia="仿宋"/>
                <w:b w:val="0"/>
                <w:sz w:val="24"/>
                <w:szCs w:val="24"/>
              </w:rPr>
            </w:pPr>
          </w:p>
          <w:p>
            <w:pPr>
              <w:jc w:val="center"/>
              <w:rPr>
                <w:rFonts w:ascii="Times New Roman" w:hAnsi="Times New Roman" w:eastAsia="仿宋"/>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硫铁矿</w:t>
            </w:r>
          </w:p>
        </w:tc>
        <w:tc>
          <w:tcPr>
            <w:tcW w:w="2700" w:type="dxa"/>
            <w:vAlign w:val="center"/>
          </w:tcPr>
          <w:p>
            <w:pPr>
              <w:jc w:val="center"/>
              <w:rPr>
                <w:rFonts w:ascii="Times New Roman" w:hAnsi="Times New Roman" w:eastAsia="仿宋"/>
                <w:b w:val="0"/>
                <w:sz w:val="24"/>
                <w:szCs w:val="24"/>
              </w:rPr>
            </w:pPr>
          </w:p>
        </w:tc>
        <w:tc>
          <w:tcPr>
            <w:tcW w:w="2340" w:type="dxa"/>
            <w:vAlign w:val="center"/>
          </w:tcPr>
          <w:p>
            <w:pPr>
              <w:jc w:val="center"/>
              <w:rPr>
                <w:rFonts w:ascii="Times New Roman" w:hAnsi="Times New Roman" w:eastAsia="仿宋"/>
                <w:b w:val="0"/>
                <w:sz w:val="24"/>
                <w:szCs w:val="24"/>
              </w:rPr>
            </w:pPr>
          </w:p>
        </w:tc>
        <w:tc>
          <w:tcPr>
            <w:tcW w:w="1692" w:type="dxa"/>
            <w:vAlign w:val="center"/>
          </w:tcPr>
          <w:p>
            <w:pPr>
              <w:jc w:val="center"/>
              <w:rPr>
                <w:rFonts w:ascii="Times New Roman" w:hAnsi="Times New Roman" w:eastAsia="仿宋"/>
                <w:b w:val="0"/>
                <w:sz w:val="24"/>
                <w:szCs w:val="24"/>
              </w:rPr>
            </w:pPr>
          </w:p>
          <w:p>
            <w:pPr>
              <w:jc w:val="center"/>
              <w:rPr>
                <w:rFonts w:ascii="Times New Roman" w:hAnsi="Times New Roman" w:eastAsia="仿宋"/>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冶炼烟气</w:t>
            </w:r>
          </w:p>
        </w:tc>
        <w:tc>
          <w:tcPr>
            <w:tcW w:w="2700" w:type="dxa"/>
            <w:vAlign w:val="center"/>
          </w:tcPr>
          <w:p>
            <w:pPr>
              <w:jc w:val="center"/>
              <w:rPr>
                <w:rFonts w:ascii="Times New Roman" w:hAnsi="Times New Roman" w:eastAsia="仿宋"/>
                <w:b w:val="0"/>
                <w:sz w:val="24"/>
                <w:szCs w:val="24"/>
              </w:rPr>
            </w:pPr>
          </w:p>
        </w:tc>
        <w:tc>
          <w:tcPr>
            <w:tcW w:w="2340" w:type="dxa"/>
            <w:vAlign w:val="center"/>
          </w:tcPr>
          <w:p>
            <w:pPr>
              <w:jc w:val="center"/>
              <w:rPr>
                <w:rFonts w:ascii="Times New Roman" w:hAnsi="Times New Roman" w:eastAsia="仿宋"/>
                <w:b w:val="0"/>
                <w:sz w:val="24"/>
                <w:szCs w:val="24"/>
              </w:rPr>
            </w:pPr>
          </w:p>
        </w:tc>
        <w:tc>
          <w:tcPr>
            <w:tcW w:w="1692" w:type="dxa"/>
            <w:vAlign w:val="center"/>
          </w:tcPr>
          <w:p>
            <w:pPr>
              <w:jc w:val="center"/>
              <w:rPr>
                <w:rFonts w:ascii="Times New Roman" w:hAnsi="Times New Roman" w:eastAsia="仿宋"/>
                <w:b w:val="0"/>
                <w:sz w:val="24"/>
                <w:szCs w:val="24"/>
              </w:rPr>
            </w:pPr>
          </w:p>
          <w:p>
            <w:pPr>
              <w:jc w:val="center"/>
              <w:rPr>
                <w:rFonts w:ascii="Times New Roman" w:hAnsi="Times New Roman" w:eastAsia="仿宋"/>
                <w:b w:val="0"/>
                <w:sz w:val="24"/>
                <w:szCs w:val="24"/>
              </w:rPr>
            </w:pPr>
          </w:p>
        </w:tc>
      </w:tr>
    </w:tbl>
    <w:p>
      <w:pPr>
        <w:rPr>
          <w:rFonts w:ascii="Times New Roman" w:hAnsi="Times New Roman" w:eastAsia="仿宋"/>
          <w:b w:val="0"/>
          <w:sz w:val="24"/>
          <w:szCs w:val="24"/>
          <w:u w:val="single"/>
        </w:rPr>
      </w:pPr>
      <w:r>
        <w:rPr>
          <w:rFonts w:hint="eastAsia" w:ascii="Times New Roman" w:hAnsi="Times New Roman" w:eastAsia="仿宋"/>
          <w:b w:val="0"/>
          <w:sz w:val="24"/>
          <w:szCs w:val="24"/>
        </w:rPr>
        <w:t>填报人：   联系电话：   填报日期：</w:t>
      </w:r>
    </w:p>
    <w:p>
      <w:pPr>
        <w:spacing w:line="480" w:lineRule="exact"/>
        <w:ind w:firstLine="594" w:firstLineChars="198"/>
        <w:rPr>
          <w:rFonts w:ascii="Times New Roman" w:hAnsi="Times New Roman" w:eastAsia="黑体"/>
          <w:b w:val="0"/>
          <w:sz w:val="30"/>
          <w:szCs w:val="30"/>
        </w:rPr>
      </w:pPr>
    </w:p>
    <w:p>
      <w:pPr>
        <w:spacing w:line="480" w:lineRule="exact"/>
        <w:ind w:firstLine="594" w:firstLineChars="198"/>
        <w:rPr>
          <w:rFonts w:ascii="Times New Roman" w:hAnsi="Times New Roman" w:eastAsia="黑体"/>
          <w:b w:val="0"/>
          <w:sz w:val="30"/>
          <w:szCs w:val="30"/>
        </w:rPr>
      </w:pPr>
      <w:r>
        <w:rPr>
          <w:rFonts w:hint="eastAsia" w:ascii="Times New Roman" w:hAnsi="Times New Roman" w:eastAsia="黑体"/>
          <w:b w:val="0"/>
          <w:sz w:val="30"/>
          <w:szCs w:val="30"/>
        </w:rPr>
        <w:t>十三、电石</w:t>
      </w:r>
    </w:p>
    <w:p>
      <w:pPr>
        <w:spacing w:line="480" w:lineRule="exact"/>
        <w:ind w:firstLine="600" w:firstLineChars="200"/>
        <w:rPr>
          <w:rFonts w:ascii="Times New Roman" w:hAnsi="Times New Roman" w:eastAsia="仿宋"/>
          <w:b w:val="0"/>
          <w:sz w:val="30"/>
          <w:szCs w:val="30"/>
        </w:rPr>
      </w:pPr>
      <w:r>
        <w:rPr>
          <w:rFonts w:hint="eastAsia" w:ascii="Times New Roman" w:hAnsi="Times New Roman" w:eastAsia="仿宋"/>
          <w:b w:val="0"/>
          <w:sz w:val="30"/>
          <w:szCs w:val="30"/>
        </w:rPr>
        <w:t>按照生产工艺类型分别统计生产企业报告期内吨电石产品（折标发气量300标立方米/吨电石）综合能源消耗量和电炉电耗（见表13）。统计范围和计算方法按照《电石单位产品能源消耗限额》（GB21343）的规定进行。</w:t>
      </w:r>
    </w:p>
    <w:p>
      <w:pPr>
        <w:jc w:val="center"/>
        <w:rPr>
          <w:rFonts w:ascii="Times New Roman" w:hAnsi="Times New Roman" w:eastAsia="仿宋"/>
          <w:b w:val="0"/>
          <w:sz w:val="24"/>
          <w:szCs w:val="24"/>
        </w:rPr>
      </w:pPr>
      <w:r>
        <w:rPr>
          <w:rFonts w:hint="eastAsia" w:ascii="Times New Roman" w:hAnsi="Times New Roman" w:eastAsia="仿宋"/>
          <w:b w:val="0"/>
          <w:sz w:val="24"/>
          <w:szCs w:val="24"/>
        </w:rPr>
        <w:t>表13 电石综合能源消耗量和电炉电耗统计表</w:t>
      </w:r>
    </w:p>
    <w:p>
      <w:pPr>
        <w:rPr>
          <w:rFonts w:ascii="Times New Roman" w:hAnsi="Times New Roman" w:eastAsia="仿宋"/>
          <w:b w:val="0"/>
          <w:sz w:val="24"/>
          <w:szCs w:val="24"/>
        </w:rPr>
      </w:pPr>
      <w:r>
        <w:rPr>
          <w:rFonts w:hint="eastAsia" w:ascii="Times New Roman" w:hAnsi="Times New Roman" w:eastAsia="仿宋"/>
          <w:b w:val="0"/>
          <w:sz w:val="24"/>
          <w:szCs w:val="24"/>
        </w:rPr>
        <w:t>单位：</w:t>
      </w:r>
      <w:r>
        <w:rPr>
          <w:rFonts w:hint="eastAsia" w:ascii="Times New Roman" w:hAnsi="Times New Roman" w:eastAsia="仿宋"/>
          <w:b w:val="0"/>
          <w:sz w:val="24"/>
          <w:szCs w:val="24"/>
          <w:u w:val="single"/>
        </w:rPr>
        <w:t xml:space="preserve">×××企业          </w:t>
      </w:r>
      <w:r>
        <w:rPr>
          <w:rFonts w:hint="eastAsia" w:ascii="Times New Roman" w:hAnsi="Times New Roman" w:eastAsia="仿宋"/>
          <w:b w:val="0"/>
          <w:sz w:val="24"/>
          <w:szCs w:val="24"/>
        </w:rPr>
        <w:t xml:space="preserve">         报告期：2022年1月1日—12月31日</w:t>
      </w:r>
    </w:p>
    <w:tbl>
      <w:tblPr>
        <w:tblStyle w:val="4"/>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700"/>
        <w:gridCol w:w="2520"/>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生产工艺</w:t>
            </w:r>
          </w:p>
        </w:tc>
        <w:tc>
          <w:tcPr>
            <w:tcW w:w="2700"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吨电石综合能耗</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（千克标准煤）</w:t>
            </w:r>
          </w:p>
        </w:tc>
        <w:tc>
          <w:tcPr>
            <w:tcW w:w="2520"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吨电石电耗</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（千瓦时）</w:t>
            </w:r>
          </w:p>
        </w:tc>
        <w:tc>
          <w:tcPr>
            <w:tcW w:w="1512"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密闭式电石炉</w:t>
            </w:r>
          </w:p>
        </w:tc>
        <w:tc>
          <w:tcPr>
            <w:tcW w:w="2700" w:type="dxa"/>
            <w:vAlign w:val="center"/>
          </w:tcPr>
          <w:p>
            <w:pPr>
              <w:jc w:val="center"/>
              <w:rPr>
                <w:rFonts w:ascii="Times New Roman" w:hAnsi="Times New Roman" w:eastAsia="仿宋"/>
                <w:b w:val="0"/>
                <w:sz w:val="24"/>
                <w:szCs w:val="24"/>
              </w:rPr>
            </w:pPr>
          </w:p>
        </w:tc>
        <w:tc>
          <w:tcPr>
            <w:tcW w:w="2520" w:type="dxa"/>
            <w:vAlign w:val="center"/>
          </w:tcPr>
          <w:p>
            <w:pPr>
              <w:jc w:val="center"/>
              <w:rPr>
                <w:rFonts w:ascii="Times New Roman" w:hAnsi="Times New Roman" w:eastAsia="仿宋"/>
                <w:b w:val="0"/>
                <w:sz w:val="24"/>
                <w:szCs w:val="24"/>
              </w:rPr>
            </w:pPr>
          </w:p>
        </w:tc>
        <w:tc>
          <w:tcPr>
            <w:tcW w:w="1512" w:type="dxa"/>
            <w:vAlign w:val="center"/>
          </w:tcPr>
          <w:p>
            <w:pPr>
              <w:jc w:val="center"/>
              <w:rPr>
                <w:rFonts w:ascii="Times New Roman" w:hAnsi="Times New Roman" w:eastAsia="仿宋"/>
                <w:b w:val="0"/>
                <w:sz w:val="24"/>
                <w:szCs w:val="24"/>
              </w:rPr>
            </w:pPr>
          </w:p>
          <w:p>
            <w:pPr>
              <w:jc w:val="center"/>
              <w:rPr>
                <w:rFonts w:ascii="Times New Roman" w:hAnsi="Times New Roman" w:eastAsia="仿宋"/>
                <w:b w:val="0"/>
                <w:sz w:val="24"/>
                <w:szCs w:val="24"/>
              </w:rPr>
            </w:pPr>
          </w:p>
        </w:tc>
      </w:tr>
    </w:tbl>
    <w:p>
      <w:pPr>
        <w:rPr>
          <w:rFonts w:ascii="Times New Roman" w:hAnsi="Times New Roman" w:eastAsia="仿宋"/>
          <w:b w:val="0"/>
          <w:sz w:val="24"/>
          <w:szCs w:val="24"/>
          <w:u w:val="single"/>
        </w:rPr>
      </w:pPr>
      <w:r>
        <w:rPr>
          <w:rFonts w:hint="eastAsia" w:ascii="Times New Roman" w:hAnsi="Times New Roman" w:eastAsia="仿宋"/>
          <w:b w:val="0"/>
          <w:sz w:val="24"/>
          <w:szCs w:val="24"/>
        </w:rPr>
        <w:t>填报人：   联系电话：   填报日期：</w:t>
      </w:r>
    </w:p>
    <w:p>
      <w:pPr>
        <w:spacing w:line="480" w:lineRule="exact"/>
        <w:rPr>
          <w:rFonts w:ascii="Times New Roman" w:hAnsi="Times New Roman" w:eastAsia="仿宋_GB2312"/>
          <w:b w:val="0"/>
          <w:sz w:val="30"/>
          <w:szCs w:val="30"/>
        </w:rPr>
      </w:pPr>
    </w:p>
    <w:p>
      <w:pPr>
        <w:spacing w:line="480" w:lineRule="exact"/>
        <w:ind w:firstLine="594" w:firstLineChars="198"/>
        <w:rPr>
          <w:rFonts w:ascii="Times New Roman" w:hAnsi="Times New Roman" w:eastAsia="黑体"/>
          <w:b w:val="0"/>
          <w:sz w:val="30"/>
          <w:szCs w:val="30"/>
        </w:rPr>
      </w:pPr>
      <w:r>
        <w:rPr>
          <w:rFonts w:hint="eastAsia" w:ascii="Times New Roman" w:hAnsi="Times New Roman" w:eastAsia="黑体"/>
          <w:b w:val="0"/>
          <w:sz w:val="30"/>
          <w:szCs w:val="30"/>
        </w:rPr>
        <w:t>十四、烧碱</w:t>
      </w:r>
    </w:p>
    <w:p>
      <w:pPr>
        <w:spacing w:line="480" w:lineRule="exact"/>
        <w:ind w:firstLine="600" w:firstLineChars="200"/>
        <w:rPr>
          <w:rFonts w:ascii="Times New Roman" w:hAnsi="Times New Roman" w:eastAsia="仿宋"/>
          <w:b w:val="0"/>
          <w:sz w:val="30"/>
          <w:szCs w:val="30"/>
        </w:rPr>
      </w:pPr>
      <w:r>
        <w:rPr>
          <w:rFonts w:hint="eastAsia" w:ascii="Times New Roman" w:hAnsi="Times New Roman" w:eastAsia="仿宋"/>
          <w:b w:val="0"/>
          <w:sz w:val="30"/>
          <w:szCs w:val="30"/>
        </w:rPr>
        <w:t>统计生产企业（烧碱装置投产</w:t>
      </w:r>
      <w:r>
        <w:rPr>
          <w:rFonts w:ascii="Times New Roman" w:hAnsi="Times New Roman" w:eastAsia="仿宋"/>
          <w:b w:val="0"/>
          <w:sz w:val="30"/>
          <w:szCs w:val="30"/>
        </w:rPr>
        <w:t>3年及以上，规模大于或等于30万吨/年</w:t>
      </w:r>
      <w:r>
        <w:rPr>
          <w:rFonts w:hint="eastAsia" w:ascii="Times New Roman" w:hAnsi="Times New Roman" w:eastAsia="仿宋"/>
          <w:b w:val="0"/>
          <w:sz w:val="30"/>
          <w:szCs w:val="30"/>
        </w:rPr>
        <w:t>）报告期内吨烧碱产品（折纯100%）综合能源消耗量和电解单元交流电耗（见表14）。统计范围和计算方法按照《烧碱单位产品能源消耗限额》（GB21257）的规定进行。</w:t>
      </w:r>
    </w:p>
    <w:p>
      <w:pPr>
        <w:jc w:val="center"/>
        <w:rPr>
          <w:rFonts w:ascii="Times New Roman" w:hAnsi="Times New Roman" w:eastAsia="仿宋"/>
          <w:b w:val="0"/>
          <w:sz w:val="24"/>
          <w:szCs w:val="24"/>
        </w:rPr>
      </w:pPr>
      <w:r>
        <w:rPr>
          <w:rFonts w:hint="eastAsia" w:ascii="Times New Roman" w:hAnsi="Times New Roman" w:eastAsia="仿宋"/>
          <w:b w:val="0"/>
          <w:sz w:val="24"/>
          <w:szCs w:val="24"/>
        </w:rPr>
        <w:t>表14 烧碱综合能源消耗量和用电量统计表</w:t>
      </w:r>
    </w:p>
    <w:p>
      <w:pPr>
        <w:rPr>
          <w:rFonts w:ascii="Times New Roman" w:hAnsi="Times New Roman" w:eastAsia="仿宋"/>
          <w:b w:val="0"/>
          <w:sz w:val="24"/>
          <w:szCs w:val="24"/>
        </w:rPr>
      </w:pPr>
      <w:r>
        <w:rPr>
          <w:rFonts w:hint="eastAsia" w:ascii="Times New Roman" w:hAnsi="Times New Roman" w:eastAsia="仿宋"/>
          <w:b w:val="0"/>
          <w:sz w:val="24"/>
          <w:szCs w:val="24"/>
        </w:rPr>
        <w:t>单位：</w:t>
      </w:r>
      <w:r>
        <w:rPr>
          <w:rFonts w:hint="eastAsia" w:ascii="Times New Roman" w:hAnsi="Times New Roman" w:eastAsia="仿宋"/>
          <w:b w:val="0"/>
          <w:sz w:val="24"/>
          <w:szCs w:val="24"/>
          <w:u w:val="single"/>
        </w:rPr>
        <w:t xml:space="preserve">×××企业          </w:t>
      </w:r>
      <w:r>
        <w:rPr>
          <w:rFonts w:hint="eastAsia" w:ascii="Times New Roman" w:hAnsi="Times New Roman" w:eastAsia="仿宋"/>
          <w:b w:val="0"/>
          <w:sz w:val="24"/>
          <w:szCs w:val="24"/>
        </w:rPr>
        <w:t xml:space="preserve">         报告期：2022年1月1日—12月31日</w:t>
      </w:r>
    </w:p>
    <w:tbl>
      <w:tblPr>
        <w:tblStyle w:val="4"/>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700"/>
        <w:gridCol w:w="2687"/>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产品类型</w:t>
            </w:r>
          </w:p>
        </w:tc>
        <w:tc>
          <w:tcPr>
            <w:tcW w:w="2700"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离子膜法烧碱≥30.0%的吨烧碱综合能耗</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（千克标准煤）</w:t>
            </w:r>
          </w:p>
        </w:tc>
        <w:tc>
          <w:tcPr>
            <w:tcW w:w="2687"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吨烧碱离子膜法碱电解单元交流电耗（千瓦时）</w:t>
            </w:r>
          </w:p>
        </w:tc>
        <w:tc>
          <w:tcPr>
            <w:tcW w:w="1345"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离子膜法烧碱≥30.0</w:t>
            </w:r>
          </w:p>
        </w:tc>
        <w:tc>
          <w:tcPr>
            <w:tcW w:w="2700" w:type="dxa"/>
            <w:vAlign w:val="center"/>
          </w:tcPr>
          <w:p>
            <w:pPr>
              <w:jc w:val="center"/>
              <w:rPr>
                <w:rFonts w:ascii="Times New Roman" w:hAnsi="Times New Roman" w:eastAsia="仿宋"/>
                <w:b w:val="0"/>
                <w:sz w:val="24"/>
                <w:szCs w:val="24"/>
              </w:rPr>
            </w:pPr>
          </w:p>
        </w:tc>
        <w:tc>
          <w:tcPr>
            <w:tcW w:w="2687" w:type="dxa"/>
            <w:vAlign w:val="center"/>
          </w:tcPr>
          <w:p>
            <w:pPr>
              <w:jc w:val="center"/>
              <w:rPr>
                <w:rFonts w:ascii="Times New Roman" w:hAnsi="Times New Roman" w:eastAsia="仿宋"/>
                <w:b w:val="0"/>
                <w:sz w:val="24"/>
                <w:szCs w:val="24"/>
              </w:rPr>
            </w:pPr>
          </w:p>
        </w:tc>
        <w:tc>
          <w:tcPr>
            <w:tcW w:w="1345" w:type="dxa"/>
            <w:vAlign w:val="center"/>
          </w:tcPr>
          <w:p>
            <w:pPr>
              <w:jc w:val="center"/>
              <w:rPr>
                <w:rFonts w:ascii="Times New Roman" w:hAnsi="Times New Roman" w:eastAsia="仿宋"/>
                <w:b w:val="0"/>
                <w:sz w:val="24"/>
                <w:szCs w:val="24"/>
              </w:rPr>
            </w:pPr>
          </w:p>
          <w:p>
            <w:pPr>
              <w:jc w:val="center"/>
              <w:rPr>
                <w:rFonts w:ascii="Times New Roman" w:hAnsi="Times New Roman" w:eastAsia="仿宋"/>
                <w:b w:val="0"/>
                <w:sz w:val="24"/>
                <w:szCs w:val="24"/>
              </w:rPr>
            </w:pPr>
          </w:p>
        </w:tc>
      </w:tr>
    </w:tbl>
    <w:p>
      <w:pPr>
        <w:rPr>
          <w:rFonts w:ascii="Times New Roman" w:hAnsi="Times New Roman" w:eastAsia="仿宋"/>
          <w:b w:val="0"/>
          <w:sz w:val="24"/>
          <w:szCs w:val="24"/>
          <w:u w:val="single"/>
        </w:rPr>
      </w:pPr>
      <w:r>
        <w:rPr>
          <w:rFonts w:hint="eastAsia" w:ascii="Times New Roman" w:hAnsi="Times New Roman" w:eastAsia="仿宋"/>
          <w:b w:val="0"/>
          <w:sz w:val="24"/>
          <w:szCs w:val="24"/>
        </w:rPr>
        <w:t>填报人：   联系电话：   填报日期：</w:t>
      </w:r>
    </w:p>
    <w:p>
      <w:pPr>
        <w:spacing w:line="480" w:lineRule="exact"/>
        <w:ind w:firstLine="594" w:firstLineChars="198"/>
        <w:rPr>
          <w:rFonts w:ascii="Times New Roman" w:hAnsi="Times New Roman" w:eastAsia="黑体"/>
          <w:b w:val="0"/>
          <w:sz w:val="30"/>
          <w:szCs w:val="30"/>
        </w:rPr>
      </w:pPr>
    </w:p>
    <w:p>
      <w:pPr>
        <w:spacing w:line="480" w:lineRule="exact"/>
        <w:ind w:firstLine="594" w:firstLineChars="198"/>
        <w:rPr>
          <w:rFonts w:ascii="Times New Roman" w:hAnsi="Times New Roman" w:eastAsia="黑体"/>
          <w:b w:val="0"/>
          <w:sz w:val="30"/>
          <w:szCs w:val="30"/>
        </w:rPr>
      </w:pPr>
      <w:r>
        <w:rPr>
          <w:rFonts w:hint="eastAsia" w:ascii="Times New Roman" w:hAnsi="Times New Roman" w:eastAsia="黑体"/>
          <w:b w:val="0"/>
          <w:sz w:val="30"/>
          <w:szCs w:val="30"/>
        </w:rPr>
        <w:t>十五、聚氯乙烯</w:t>
      </w:r>
    </w:p>
    <w:p>
      <w:pPr>
        <w:spacing w:line="480" w:lineRule="exact"/>
        <w:ind w:firstLine="600" w:firstLineChars="200"/>
        <w:rPr>
          <w:rFonts w:ascii="Times New Roman" w:hAnsi="Times New Roman" w:eastAsia="仿宋"/>
          <w:b w:val="0"/>
          <w:sz w:val="30"/>
          <w:szCs w:val="30"/>
        </w:rPr>
      </w:pPr>
      <w:r>
        <w:rPr>
          <w:rFonts w:hint="eastAsia" w:ascii="Times New Roman" w:hAnsi="Times New Roman" w:eastAsia="仿宋"/>
          <w:b w:val="0"/>
          <w:sz w:val="30"/>
          <w:szCs w:val="30"/>
        </w:rPr>
        <w:t>统计生产企业（聚氯乙烯装置投产</w:t>
      </w:r>
      <w:r>
        <w:rPr>
          <w:rFonts w:ascii="Times New Roman" w:hAnsi="Times New Roman" w:eastAsia="仿宋"/>
          <w:b w:val="0"/>
          <w:sz w:val="30"/>
          <w:szCs w:val="30"/>
        </w:rPr>
        <w:t>2年及以上，规模大于或等于30万吨/年</w:t>
      </w:r>
      <w:r>
        <w:rPr>
          <w:rFonts w:hint="eastAsia" w:ascii="Times New Roman" w:hAnsi="Times New Roman" w:eastAsia="仿宋"/>
          <w:b w:val="0"/>
          <w:sz w:val="30"/>
          <w:szCs w:val="30"/>
        </w:rPr>
        <w:t>）报告期内以电石为原料的悬浮法聚氯乙烯吨产品综合能源消耗量和电石消耗量（折标发气量300标立方米/吨电石）（见表15）。统计范围和计算方法按照《聚氯乙烯单位产品能源消耗限额》（</w:t>
      </w:r>
      <w:r>
        <w:rPr>
          <w:rFonts w:ascii="Times New Roman" w:hAnsi="Times New Roman" w:eastAsia="仿宋"/>
          <w:b w:val="0"/>
          <w:sz w:val="30"/>
          <w:szCs w:val="30"/>
        </w:rPr>
        <w:t>GB 30527</w:t>
      </w:r>
      <w:r>
        <w:rPr>
          <w:rFonts w:hint="eastAsia" w:ascii="Times New Roman" w:hAnsi="Times New Roman" w:eastAsia="仿宋"/>
          <w:b w:val="0"/>
          <w:sz w:val="30"/>
          <w:szCs w:val="30"/>
        </w:rPr>
        <w:t>）的规定进行。</w:t>
      </w:r>
    </w:p>
    <w:p>
      <w:pPr>
        <w:jc w:val="center"/>
        <w:rPr>
          <w:rFonts w:ascii="Times New Roman" w:hAnsi="Times New Roman" w:eastAsia="仿宋"/>
          <w:b w:val="0"/>
          <w:sz w:val="24"/>
          <w:szCs w:val="24"/>
        </w:rPr>
      </w:pPr>
      <w:r>
        <w:rPr>
          <w:rFonts w:hint="eastAsia" w:ascii="Times New Roman" w:hAnsi="Times New Roman" w:eastAsia="仿宋"/>
          <w:b w:val="0"/>
          <w:sz w:val="24"/>
          <w:szCs w:val="24"/>
        </w:rPr>
        <w:t>表15 聚氯乙烯综合能源消耗量和电石消耗量统计表</w:t>
      </w:r>
    </w:p>
    <w:p>
      <w:pPr>
        <w:rPr>
          <w:rFonts w:ascii="Times New Roman" w:hAnsi="Times New Roman" w:eastAsia="仿宋"/>
          <w:b w:val="0"/>
          <w:sz w:val="24"/>
          <w:szCs w:val="24"/>
        </w:rPr>
      </w:pPr>
      <w:r>
        <w:rPr>
          <w:rFonts w:hint="eastAsia" w:ascii="Times New Roman" w:hAnsi="Times New Roman" w:eastAsia="仿宋"/>
          <w:b w:val="0"/>
          <w:sz w:val="24"/>
          <w:szCs w:val="24"/>
        </w:rPr>
        <w:t>单位：</w:t>
      </w:r>
      <w:r>
        <w:rPr>
          <w:rFonts w:hint="eastAsia" w:ascii="Times New Roman" w:hAnsi="Times New Roman" w:eastAsia="仿宋"/>
          <w:b w:val="0"/>
          <w:sz w:val="24"/>
          <w:szCs w:val="24"/>
          <w:u w:val="single"/>
        </w:rPr>
        <w:t xml:space="preserve">×××企业          </w:t>
      </w:r>
      <w:r>
        <w:rPr>
          <w:rFonts w:hint="eastAsia" w:ascii="Times New Roman" w:hAnsi="Times New Roman" w:eastAsia="仿宋"/>
          <w:b w:val="0"/>
          <w:sz w:val="24"/>
          <w:szCs w:val="24"/>
        </w:rPr>
        <w:t xml:space="preserve">         报告期：2022年1月1日—12月31日</w:t>
      </w:r>
    </w:p>
    <w:tbl>
      <w:tblPr>
        <w:tblStyle w:val="4"/>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700"/>
        <w:gridCol w:w="2520"/>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产品</w:t>
            </w:r>
          </w:p>
        </w:tc>
        <w:tc>
          <w:tcPr>
            <w:tcW w:w="2700"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吨聚氯乙烯综合能耗</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（千克标准煤）</w:t>
            </w:r>
          </w:p>
        </w:tc>
        <w:tc>
          <w:tcPr>
            <w:tcW w:w="2520"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吨聚氯乙烯电石消耗</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（千克，折标）</w:t>
            </w:r>
          </w:p>
        </w:tc>
        <w:tc>
          <w:tcPr>
            <w:tcW w:w="1512"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以电石为原料的悬浮法聚氯乙烯</w:t>
            </w:r>
          </w:p>
        </w:tc>
        <w:tc>
          <w:tcPr>
            <w:tcW w:w="2700" w:type="dxa"/>
            <w:vAlign w:val="center"/>
          </w:tcPr>
          <w:p>
            <w:pPr>
              <w:jc w:val="center"/>
              <w:rPr>
                <w:rFonts w:ascii="Times New Roman" w:hAnsi="Times New Roman" w:eastAsia="仿宋"/>
                <w:b w:val="0"/>
                <w:sz w:val="24"/>
                <w:szCs w:val="24"/>
              </w:rPr>
            </w:pPr>
          </w:p>
        </w:tc>
        <w:tc>
          <w:tcPr>
            <w:tcW w:w="2520" w:type="dxa"/>
            <w:vAlign w:val="center"/>
          </w:tcPr>
          <w:p>
            <w:pPr>
              <w:jc w:val="center"/>
              <w:rPr>
                <w:rFonts w:ascii="Times New Roman" w:hAnsi="Times New Roman" w:eastAsia="仿宋"/>
                <w:b w:val="0"/>
                <w:sz w:val="24"/>
                <w:szCs w:val="24"/>
              </w:rPr>
            </w:pPr>
          </w:p>
        </w:tc>
        <w:tc>
          <w:tcPr>
            <w:tcW w:w="1512" w:type="dxa"/>
            <w:vAlign w:val="center"/>
          </w:tcPr>
          <w:p>
            <w:pPr>
              <w:jc w:val="center"/>
              <w:rPr>
                <w:rFonts w:ascii="Times New Roman" w:hAnsi="Times New Roman" w:eastAsia="仿宋"/>
                <w:b w:val="0"/>
                <w:sz w:val="24"/>
                <w:szCs w:val="24"/>
              </w:rPr>
            </w:pPr>
          </w:p>
          <w:p>
            <w:pPr>
              <w:jc w:val="center"/>
              <w:rPr>
                <w:rFonts w:ascii="Times New Roman" w:hAnsi="Times New Roman" w:eastAsia="仿宋"/>
                <w:b w:val="0"/>
                <w:sz w:val="24"/>
                <w:szCs w:val="24"/>
              </w:rPr>
            </w:pPr>
          </w:p>
        </w:tc>
      </w:tr>
    </w:tbl>
    <w:p>
      <w:pPr>
        <w:rPr>
          <w:rFonts w:ascii="Times New Roman" w:hAnsi="Times New Roman" w:eastAsia="仿宋"/>
          <w:b w:val="0"/>
          <w:sz w:val="24"/>
          <w:szCs w:val="24"/>
          <w:u w:val="single"/>
        </w:rPr>
      </w:pPr>
      <w:r>
        <w:rPr>
          <w:rFonts w:hint="eastAsia" w:ascii="Times New Roman" w:hAnsi="Times New Roman" w:eastAsia="仿宋"/>
          <w:b w:val="0"/>
          <w:sz w:val="24"/>
          <w:szCs w:val="24"/>
        </w:rPr>
        <w:t>填报人：   联系电话：   填报日期：</w:t>
      </w:r>
    </w:p>
    <w:p>
      <w:pPr>
        <w:spacing w:line="480" w:lineRule="exact"/>
        <w:rPr>
          <w:rFonts w:ascii="Times New Roman" w:hAnsi="Times New Roman" w:eastAsia="仿宋"/>
          <w:b w:val="0"/>
          <w:sz w:val="30"/>
          <w:szCs w:val="30"/>
        </w:rPr>
      </w:pPr>
    </w:p>
    <w:p>
      <w:pPr>
        <w:spacing w:line="480" w:lineRule="exact"/>
        <w:ind w:firstLine="594" w:firstLineChars="198"/>
        <w:rPr>
          <w:rFonts w:ascii="Times New Roman" w:hAnsi="Times New Roman" w:eastAsia="黑体"/>
          <w:b w:val="0"/>
          <w:sz w:val="30"/>
          <w:szCs w:val="30"/>
        </w:rPr>
      </w:pPr>
      <w:r>
        <w:rPr>
          <w:rFonts w:hint="eastAsia" w:ascii="Times New Roman" w:hAnsi="Times New Roman" w:eastAsia="黑体"/>
          <w:b w:val="0"/>
          <w:sz w:val="30"/>
          <w:szCs w:val="30"/>
        </w:rPr>
        <w:t>十六、纯碱</w:t>
      </w:r>
    </w:p>
    <w:p>
      <w:pPr>
        <w:spacing w:line="480" w:lineRule="exact"/>
        <w:ind w:firstLine="600" w:firstLineChars="200"/>
        <w:rPr>
          <w:rFonts w:ascii="Times New Roman" w:hAnsi="Times New Roman" w:eastAsia="仿宋"/>
          <w:b w:val="0"/>
          <w:sz w:val="30"/>
          <w:szCs w:val="30"/>
        </w:rPr>
      </w:pPr>
      <w:r>
        <w:rPr>
          <w:rFonts w:hint="eastAsia" w:ascii="Times New Roman" w:hAnsi="Times New Roman" w:eastAsia="仿宋"/>
          <w:b w:val="0"/>
          <w:sz w:val="30"/>
          <w:szCs w:val="30"/>
        </w:rPr>
        <w:t>按照生产工艺和产品类型分别统计生产企业报告期内吨纯碱产品综合能源消耗量和氨耗量（见表16）。统计范围和计算方法按照《纯碱单位产品能源消耗限额》（</w:t>
      </w:r>
      <w:r>
        <w:rPr>
          <w:rFonts w:ascii="Times New Roman" w:hAnsi="Times New Roman" w:eastAsia="仿宋"/>
          <w:b w:val="0"/>
          <w:sz w:val="30"/>
          <w:szCs w:val="30"/>
        </w:rPr>
        <w:t>GB29140</w:t>
      </w:r>
      <w:r>
        <w:rPr>
          <w:rFonts w:hint="eastAsia" w:ascii="Times New Roman" w:hAnsi="Times New Roman" w:eastAsia="仿宋"/>
          <w:b w:val="0"/>
          <w:sz w:val="30"/>
          <w:szCs w:val="30"/>
        </w:rPr>
        <w:t>）的规定进行。</w:t>
      </w:r>
    </w:p>
    <w:p>
      <w:pPr>
        <w:jc w:val="center"/>
        <w:rPr>
          <w:rFonts w:ascii="Times New Roman" w:hAnsi="Times New Roman" w:eastAsia="仿宋"/>
          <w:b w:val="0"/>
          <w:sz w:val="24"/>
          <w:szCs w:val="24"/>
        </w:rPr>
      </w:pPr>
      <w:r>
        <w:rPr>
          <w:rFonts w:hint="eastAsia" w:ascii="Times New Roman" w:hAnsi="Times New Roman" w:eastAsia="仿宋"/>
          <w:b w:val="0"/>
          <w:sz w:val="24"/>
          <w:szCs w:val="24"/>
        </w:rPr>
        <w:t>表16 纯碱综合能源消耗量和氨耗量统计表</w:t>
      </w:r>
    </w:p>
    <w:p>
      <w:pPr>
        <w:rPr>
          <w:rFonts w:ascii="Times New Roman" w:hAnsi="Times New Roman" w:eastAsia="仿宋"/>
          <w:b w:val="0"/>
          <w:sz w:val="24"/>
          <w:szCs w:val="24"/>
        </w:rPr>
      </w:pPr>
      <w:r>
        <w:rPr>
          <w:rFonts w:hint="eastAsia" w:ascii="Times New Roman" w:hAnsi="Times New Roman" w:eastAsia="仿宋"/>
          <w:b w:val="0"/>
          <w:sz w:val="24"/>
          <w:szCs w:val="24"/>
        </w:rPr>
        <w:t>单位：</w:t>
      </w:r>
      <w:r>
        <w:rPr>
          <w:rFonts w:hint="eastAsia" w:ascii="Times New Roman" w:hAnsi="Times New Roman" w:eastAsia="仿宋"/>
          <w:b w:val="0"/>
          <w:sz w:val="24"/>
          <w:szCs w:val="24"/>
          <w:u w:val="single"/>
        </w:rPr>
        <w:t xml:space="preserve">×××企业          </w:t>
      </w:r>
      <w:r>
        <w:rPr>
          <w:rFonts w:hint="eastAsia" w:ascii="Times New Roman" w:hAnsi="Times New Roman" w:eastAsia="仿宋"/>
          <w:b w:val="0"/>
          <w:sz w:val="24"/>
          <w:szCs w:val="24"/>
        </w:rPr>
        <w:t xml:space="preserve">         报告期：2022年1月1日—12月31日</w:t>
      </w:r>
    </w:p>
    <w:tbl>
      <w:tblPr>
        <w:tblStyle w:val="4"/>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1260"/>
        <w:gridCol w:w="2668"/>
        <w:gridCol w:w="2552"/>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生产工艺类型</w:t>
            </w:r>
          </w:p>
        </w:tc>
        <w:tc>
          <w:tcPr>
            <w:tcW w:w="1260"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产品类型</w:t>
            </w:r>
          </w:p>
        </w:tc>
        <w:tc>
          <w:tcPr>
            <w:tcW w:w="266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吨轻质纯碱综合能耗</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（千克标准煤）</w:t>
            </w:r>
          </w:p>
        </w:tc>
        <w:tc>
          <w:tcPr>
            <w:tcW w:w="2552"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吨轻质纯碱氨耗量</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（千克）</w:t>
            </w:r>
          </w:p>
        </w:tc>
        <w:tc>
          <w:tcPr>
            <w:tcW w:w="1512"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氨碱法</w:t>
            </w:r>
          </w:p>
        </w:tc>
        <w:tc>
          <w:tcPr>
            <w:tcW w:w="1260"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轻质纯碱</w:t>
            </w:r>
          </w:p>
        </w:tc>
        <w:tc>
          <w:tcPr>
            <w:tcW w:w="2668" w:type="dxa"/>
            <w:vAlign w:val="center"/>
          </w:tcPr>
          <w:p>
            <w:pPr>
              <w:jc w:val="center"/>
              <w:rPr>
                <w:rFonts w:ascii="Times New Roman" w:hAnsi="Times New Roman" w:eastAsia="仿宋"/>
                <w:b w:val="0"/>
                <w:sz w:val="24"/>
                <w:szCs w:val="24"/>
              </w:rPr>
            </w:pPr>
          </w:p>
        </w:tc>
        <w:tc>
          <w:tcPr>
            <w:tcW w:w="2552" w:type="dxa"/>
            <w:vAlign w:val="center"/>
          </w:tcPr>
          <w:p>
            <w:pPr>
              <w:jc w:val="center"/>
              <w:rPr>
                <w:rFonts w:ascii="Times New Roman" w:hAnsi="Times New Roman" w:eastAsia="仿宋"/>
                <w:b w:val="0"/>
                <w:sz w:val="24"/>
                <w:szCs w:val="24"/>
              </w:rPr>
            </w:pPr>
          </w:p>
        </w:tc>
        <w:tc>
          <w:tcPr>
            <w:tcW w:w="1512" w:type="dxa"/>
            <w:vAlign w:val="center"/>
          </w:tcPr>
          <w:p>
            <w:pPr>
              <w:jc w:val="center"/>
              <w:rPr>
                <w:rFonts w:ascii="Times New Roman" w:hAnsi="Times New Roman" w:eastAsia="仿宋"/>
                <w:b w:val="0"/>
                <w:sz w:val="24"/>
                <w:szCs w:val="24"/>
              </w:rPr>
            </w:pPr>
          </w:p>
          <w:p>
            <w:pPr>
              <w:jc w:val="center"/>
              <w:rPr>
                <w:rFonts w:ascii="Times New Roman" w:hAnsi="Times New Roman" w:eastAsia="仿宋"/>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联碱法</w:t>
            </w:r>
          </w:p>
        </w:tc>
        <w:tc>
          <w:tcPr>
            <w:tcW w:w="1260"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轻质纯碱</w:t>
            </w:r>
          </w:p>
        </w:tc>
        <w:tc>
          <w:tcPr>
            <w:tcW w:w="2668" w:type="dxa"/>
            <w:vAlign w:val="center"/>
          </w:tcPr>
          <w:p>
            <w:pPr>
              <w:jc w:val="center"/>
              <w:rPr>
                <w:rFonts w:ascii="Times New Roman" w:hAnsi="Times New Roman" w:eastAsia="仿宋"/>
                <w:b w:val="0"/>
                <w:sz w:val="24"/>
                <w:szCs w:val="24"/>
              </w:rPr>
            </w:pPr>
          </w:p>
        </w:tc>
        <w:tc>
          <w:tcPr>
            <w:tcW w:w="2552" w:type="dxa"/>
            <w:vAlign w:val="center"/>
          </w:tcPr>
          <w:p>
            <w:pPr>
              <w:jc w:val="center"/>
              <w:rPr>
                <w:rFonts w:ascii="Times New Roman" w:hAnsi="Times New Roman" w:eastAsia="仿宋"/>
                <w:b w:val="0"/>
                <w:sz w:val="24"/>
                <w:szCs w:val="24"/>
              </w:rPr>
            </w:pPr>
          </w:p>
        </w:tc>
        <w:tc>
          <w:tcPr>
            <w:tcW w:w="1512" w:type="dxa"/>
            <w:vAlign w:val="center"/>
          </w:tcPr>
          <w:p>
            <w:pPr>
              <w:jc w:val="center"/>
              <w:rPr>
                <w:rFonts w:ascii="Times New Roman" w:hAnsi="Times New Roman" w:eastAsia="仿宋"/>
                <w:b w:val="0"/>
                <w:sz w:val="24"/>
                <w:szCs w:val="24"/>
              </w:rPr>
            </w:pPr>
          </w:p>
          <w:p>
            <w:pPr>
              <w:jc w:val="center"/>
              <w:rPr>
                <w:rFonts w:ascii="Times New Roman" w:hAnsi="Times New Roman" w:eastAsia="仿宋"/>
                <w:b w:val="0"/>
                <w:sz w:val="24"/>
                <w:szCs w:val="24"/>
              </w:rPr>
            </w:pPr>
          </w:p>
        </w:tc>
      </w:tr>
    </w:tbl>
    <w:p>
      <w:pPr>
        <w:rPr>
          <w:rFonts w:ascii="Times New Roman" w:hAnsi="Times New Roman" w:eastAsia="仿宋"/>
          <w:b w:val="0"/>
          <w:sz w:val="24"/>
          <w:szCs w:val="24"/>
          <w:u w:val="single"/>
        </w:rPr>
      </w:pPr>
      <w:r>
        <w:rPr>
          <w:rFonts w:hint="eastAsia" w:ascii="Times New Roman" w:hAnsi="Times New Roman" w:eastAsia="仿宋"/>
          <w:b w:val="0"/>
          <w:sz w:val="24"/>
          <w:szCs w:val="24"/>
        </w:rPr>
        <w:t>填报人：   联系电话：   填报日期：</w:t>
      </w:r>
    </w:p>
    <w:p>
      <w:pPr>
        <w:spacing w:line="480" w:lineRule="exact"/>
        <w:rPr>
          <w:rFonts w:ascii="Times New Roman" w:hAnsi="Times New Roman" w:eastAsia="仿宋_GB2312"/>
          <w:b w:val="0"/>
          <w:sz w:val="30"/>
          <w:szCs w:val="30"/>
        </w:rPr>
      </w:pPr>
    </w:p>
    <w:p>
      <w:pPr>
        <w:spacing w:line="480" w:lineRule="exact"/>
        <w:ind w:firstLine="594" w:firstLineChars="198"/>
        <w:rPr>
          <w:rFonts w:ascii="Times New Roman" w:hAnsi="Times New Roman" w:eastAsia="黑体"/>
          <w:b w:val="0"/>
          <w:sz w:val="30"/>
          <w:szCs w:val="30"/>
        </w:rPr>
      </w:pPr>
      <w:r>
        <w:rPr>
          <w:rFonts w:hint="eastAsia" w:ascii="Times New Roman" w:hAnsi="Times New Roman" w:eastAsia="黑体"/>
          <w:b w:val="0"/>
          <w:sz w:val="30"/>
          <w:szCs w:val="30"/>
        </w:rPr>
        <w:t>十七、黄磷</w:t>
      </w:r>
    </w:p>
    <w:p>
      <w:pPr>
        <w:spacing w:line="480" w:lineRule="exact"/>
        <w:ind w:firstLine="600" w:firstLineChars="200"/>
        <w:rPr>
          <w:rFonts w:ascii="Times New Roman" w:hAnsi="Times New Roman" w:eastAsia="仿宋"/>
          <w:b w:val="0"/>
          <w:sz w:val="30"/>
          <w:szCs w:val="30"/>
        </w:rPr>
      </w:pPr>
      <w:r>
        <w:rPr>
          <w:rFonts w:hint="eastAsia" w:ascii="Times New Roman" w:hAnsi="Times New Roman" w:eastAsia="仿宋"/>
          <w:b w:val="0"/>
          <w:sz w:val="30"/>
          <w:szCs w:val="30"/>
        </w:rPr>
        <w:t>统计生产企业（开工率大于或等于</w:t>
      </w:r>
      <w:r>
        <w:rPr>
          <w:rFonts w:ascii="Times New Roman" w:hAnsi="Times New Roman" w:eastAsia="仿宋"/>
          <w:b w:val="0"/>
          <w:sz w:val="30"/>
          <w:szCs w:val="30"/>
        </w:rPr>
        <w:t>40%</w:t>
      </w:r>
      <w:r>
        <w:rPr>
          <w:rFonts w:hint="eastAsia" w:ascii="Times New Roman" w:hAnsi="Times New Roman" w:eastAsia="仿宋"/>
          <w:b w:val="0"/>
          <w:sz w:val="30"/>
          <w:szCs w:val="30"/>
        </w:rPr>
        <w:t>）报告期内吨黄磷产品综合能源消耗量和电炉电耗（见表17）。统计范围和计算方法按照《黄磷单位产品能源消耗限额》（GB 21345）的规定进行。</w:t>
      </w:r>
    </w:p>
    <w:p>
      <w:pPr>
        <w:jc w:val="center"/>
        <w:rPr>
          <w:rFonts w:ascii="Times New Roman" w:hAnsi="Times New Roman" w:eastAsia="仿宋"/>
          <w:b w:val="0"/>
          <w:sz w:val="24"/>
          <w:szCs w:val="24"/>
        </w:rPr>
      </w:pPr>
      <w:r>
        <w:rPr>
          <w:rFonts w:hint="eastAsia" w:ascii="Times New Roman" w:hAnsi="Times New Roman" w:eastAsia="仿宋"/>
          <w:b w:val="0"/>
          <w:sz w:val="24"/>
          <w:szCs w:val="24"/>
        </w:rPr>
        <w:t>表17 黄磷综合能源消耗量和用电量统计表</w:t>
      </w:r>
    </w:p>
    <w:p>
      <w:pPr>
        <w:rPr>
          <w:rFonts w:ascii="Times New Roman" w:hAnsi="Times New Roman" w:eastAsia="仿宋"/>
          <w:b w:val="0"/>
          <w:sz w:val="24"/>
          <w:szCs w:val="24"/>
        </w:rPr>
      </w:pPr>
      <w:r>
        <w:rPr>
          <w:rFonts w:hint="eastAsia" w:ascii="Times New Roman" w:hAnsi="Times New Roman" w:eastAsia="仿宋"/>
          <w:b w:val="0"/>
          <w:sz w:val="24"/>
          <w:szCs w:val="24"/>
        </w:rPr>
        <w:t>单位：</w:t>
      </w:r>
      <w:r>
        <w:rPr>
          <w:rFonts w:hint="eastAsia" w:ascii="Times New Roman" w:hAnsi="Times New Roman" w:eastAsia="仿宋"/>
          <w:b w:val="0"/>
          <w:sz w:val="24"/>
          <w:szCs w:val="24"/>
          <w:u w:val="single"/>
        </w:rPr>
        <w:t xml:space="preserve">×××企业          </w:t>
      </w:r>
      <w:r>
        <w:rPr>
          <w:rFonts w:hint="eastAsia" w:ascii="Times New Roman" w:hAnsi="Times New Roman" w:eastAsia="仿宋"/>
          <w:b w:val="0"/>
          <w:sz w:val="24"/>
          <w:szCs w:val="24"/>
        </w:rPr>
        <w:t xml:space="preserve">         报告期：2022年1月1日—12月31日</w:t>
      </w:r>
    </w:p>
    <w:tbl>
      <w:tblPr>
        <w:tblStyle w:val="4"/>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700"/>
        <w:gridCol w:w="2520"/>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产品</w:t>
            </w:r>
          </w:p>
        </w:tc>
        <w:tc>
          <w:tcPr>
            <w:tcW w:w="2700"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吨黄磷综合能耗</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（千克标准煤）</w:t>
            </w:r>
          </w:p>
        </w:tc>
        <w:tc>
          <w:tcPr>
            <w:tcW w:w="2520"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吨黄磷电炉电耗</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（千瓦时）</w:t>
            </w:r>
          </w:p>
        </w:tc>
        <w:tc>
          <w:tcPr>
            <w:tcW w:w="1512"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黄磷</w:t>
            </w:r>
          </w:p>
        </w:tc>
        <w:tc>
          <w:tcPr>
            <w:tcW w:w="2700" w:type="dxa"/>
            <w:vAlign w:val="center"/>
          </w:tcPr>
          <w:p>
            <w:pPr>
              <w:jc w:val="center"/>
              <w:rPr>
                <w:rFonts w:ascii="Times New Roman" w:hAnsi="Times New Roman" w:eastAsia="仿宋"/>
                <w:b w:val="0"/>
                <w:sz w:val="24"/>
                <w:szCs w:val="24"/>
              </w:rPr>
            </w:pPr>
          </w:p>
        </w:tc>
        <w:tc>
          <w:tcPr>
            <w:tcW w:w="2520" w:type="dxa"/>
            <w:vAlign w:val="center"/>
          </w:tcPr>
          <w:p>
            <w:pPr>
              <w:jc w:val="center"/>
              <w:rPr>
                <w:rFonts w:ascii="Times New Roman" w:hAnsi="Times New Roman" w:eastAsia="仿宋"/>
                <w:b w:val="0"/>
                <w:sz w:val="24"/>
                <w:szCs w:val="24"/>
              </w:rPr>
            </w:pPr>
          </w:p>
        </w:tc>
        <w:tc>
          <w:tcPr>
            <w:tcW w:w="1512" w:type="dxa"/>
            <w:vAlign w:val="center"/>
          </w:tcPr>
          <w:p>
            <w:pPr>
              <w:jc w:val="center"/>
              <w:rPr>
                <w:rFonts w:ascii="Times New Roman" w:hAnsi="Times New Roman" w:eastAsia="仿宋"/>
                <w:b w:val="0"/>
                <w:sz w:val="24"/>
                <w:szCs w:val="24"/>
              </w:rPr>
            </w:pPr>
          </w:p>
          <w:p>
            <w:pPr>
              <w:jc w:val="center"/>
              <w:rPr>
                <w:rFonts w:ascii="Times New Roman" w:hAnsi="Times New Roman" w:eastAsia="仿宋"/>
                <w:b w:val="0"/>
                <w:sz w:val="24"/>
                <w:szCs w:val="24"/>
              </w:rPr>
            </w:pPr>
          </w:p>
        </w:tc>
      </w:tr>
    </w:tbl>
    <w:p>
      <w:pPr>
        <w:rPr>
          <w:rFonts w:ascii="Times New Roman" w:hAnsi="Times New Roman" w:eastAsia="仿宋"/>
          <w:b w:val="0"/>
          <w:sz w:val="24"/>
          <w:szCs w:val="24"/>
          <w:u w:val="single"/>
        </w:rPr>
      </w:pPr>
      <w:r>
        <w:rPr>
          <w:rFonts w:hint="eastAsia" w:ascii="Times New Roman" w:hAnsi="Times New Roman" w:eastAsia="仿宋"/>
          <w:b w:val="0"/>
          <w:sz w:val="24"/>
          <w:szCs w:val="24"/>
        </w:rPr>
        <w:t>填报人：   联系电话：   填报日期：</w:t>
      </w:r>
    </w:p>
    <w:p>
      <w:pPr>
        <w:spacing w:line="480" w:lineRule="exact"/>
        <w:rPr>
          <w:rFonts w:ascii="Times New Roman" w:hAnsi="Times New Roman" w:eastAsia="仿宋_GB2312"/>
          <w:b w:val="0"/>
          <w:sz w:val="30"/>
          <w:szCs w:val="30"/>
        </w:rPr>
      </w:pPr>
    </w:p>
    <w:p>
      <w:pPr>
        <w:spacing w:line="480" w:lineRule="exact"/>
        <w:ind w:firstLine="594" w:firstLineChars="198"/>
        <w:rPr>
          <w:rFonts w:ascii="Times New Roman" w:hAnsi="Times New Roman" w:eastAsia="黑体"/>
          <w:b w:val="0"/>
          <w:sz w:val="30"/>
          <w:szCs w:val="30"/>
        </w:rPr>
      </w:pPr>
      <w:r>
        <w:rPr>
          <w:rFonts w:hint="eastAsia" w:ascii="Times New Roman" w:hAnsi="Times New Roman" w:eastAsia="黑体"/>
          <w:b w:val="0"/>
          <w:sz w:val="30"/>
          <w:szCs w:val="30"/>
        </w:rPr>
        <w:t>十八、轮胎</w:t>
      </w:r>
    </w:p>
    <w:p>
      <w:pPr>
        <w:spacing w:line="480" w:lineRule="exact"/>
        <w:rPr>
          <w:rFonts w:ascii="Times New Roman" w:hAnsi="Times New Roman" w:eastAsia="仿宋"/>
          <w:b w:val="0"/>
          <w:sz w:val="30"/>
          <w:szCs w:val="30"/>
        </w:rPr>
      </w:pPr>
      <w:r>
        <w:rPr>
          <w:rFonts w:hint="eastAsia" w:ascii="Times New Roman" w:hAnsi="Times New Roman" w:eastAsia="仿宋"/>
          <w:b w:val="0"/>
          <w:sz w:val="30"/>
          <w:szCs w:val="30"/>
        </w:rPr>
        <w:t>按照产品类型分别统计生产企业报告期内吨轮胎产品综合能源消耗量和万元产值能源消耗量（见表18）。统计范围和计算方法按照《轮胎单位产品能源消耗限额》（GB</w:t>
      </w:r>
      <w:r>
        <w:rPr>
          <w:rFonts w:ascii="Times New Roman" w:hAnsi="Times New Roman" w:eastAsia="仿宋"/>
          <w:b w:val="0"/>
          <w:sz w:val="30"/>
          <w:szCs w:val="30"/>
        </w:rPr>
        <w:t>29449</w:t>
      </w:r>
      <w:r>
        <w:rPr>
          <w:rFonts w:hint="eastAsia" w:ascii="Times New Roman" w:hAnsi="Times New Roman" w:eastAsia="仿宋"/>
          <w:b w:val="0"/>
          <w:sz w:val="30"/>
          <w:szCs w:val="30"/>
        </w:rPr>
        <w:t>）的规定进行。</w:t>
      </w:r>
    </w:p>
    <w:p>
      <w:pPr>
        <w:jc w:val="center"/>
        <w:rPr>
          <w:rFonts w:ascii="Times New Roman" w:hAnsi="Times New Roman" w:eastAsia="仿宋"/>
          <w:b w:val="0"/>
          <w:sz w:val="24"/>
          <w:szCs w:val="24"/>
        </w:rPr>
      </w:pPr>
      <w:r>
        <w:rPr>
          <w:rFonts w:hint="eastAsia" w:ascii="Times New Roman" w:hAnsi="Times New Roman" w:eastAsia="仿宋"/>
          <w:b w:val="0"/>
          <w:sz w:val="24"/>
          <w:szCs w:val="24"/>
        </w:rPr>
        <w:t>表18 轮胎综合能源消耗量和万元产值能耗量统计表</w:t>
      </w:r>
    </w:p>
    <w:p>
      <w:pPr>
        <w:rPr>
          <w:rFonts w:ascii="Times New Roman" w:hAnsi="Times New Roman" w:eastAsia="仿宋"/>
          <w:b w:val="0"/>
          <w:sz w:val="24"/>
          <w:szCs w:val="24"/>
        </w:rPr>
      </w:pPr>
      <w:r>
        <w:rPr>
          <w:rFonts w:hint="eastAsia" w:ascii="Times New Roman" w:hAnsi="Times New Roman" w:eastAsia="仿宋"/>
          <w:b w:val="0"/>
          <w:sz w:val="24"/>
          <w:szCs w:val="24"/>
        </w:rPr>
        <w:t>单位：</w:t>
      </w:r>
      <w:r>
        <w:rPr>
          <w:rFonts w:hint="eastAsia" w:ascii="Times New Roman" w:hAnsi="Times New Roman" w:eastAsia="仿宋"/>
          <w:b w:val="0"/>
          <w:sz w:val="24"/>
          <w:szCs w:val="24"/>
          <w:u w:val="single"/>
        </w:rPr>
        <w:t xml:space="preserve">×××企业          </w:t>
      </w:r>
      <w:r>
        <w:rPr>
          <w:rFonts w:hint="eastAsia" w:ascii="Times New Roman" w:hAnsi="Times New Roman" w:eastAsia="仿宋"/>
          <w:b w:val="0"/>
          <w:sz w:val="24"/>
          <w:szCs w:val="24"/>
        </w:rPr>
        <w:t xml:space="preserve">         报告期：2022年1月1日—12月31日</w:t>
      </w:r>
    </w:p>
    <w:tbl>
      <w:tblPr>
        <w:tblStyle w:val="4"/>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700"/>
        <w:gridCol w:w="2520"/>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产品类型</w:t>
            </w:r>
          </w:p>
        </w:tc>
        <w:tc>
          <w:tcPr>
            <w:tcW w:w="2700"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吨轮胎综合能耗（千克标准煤）</w:t>
            </w:r>
          </w:p>
        </w:tc>
        <w:tc>
          <w:tcPr>
            <w:tcW w:w="2520"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万元产值能耗量</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（千克标准煤）</w:t>
            </w:r>
          </w:p>
        </w:tc>
        <w:tc>
          <w:tcPr>
            <w:tcW w:w="1512"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全钢子午线轮胎</w:t>
            </w:r>
          </w:p>
        </w:tc>
        <w:tc>
          <w:tcPr>
            <w:tcW w:w="2700" w:type="dxa"/>
            <w:vAlign w:val="center"/>
          </w:tcPr>
          <w:p>
            <w:pPr>
              <w:jc w:val="center"/>
              <w:rPr>
                <w:rFonts w:ascii="Times New Roman" w:hAnsi="Times New Roman" w:eastAsia="仿宋"/>
                <w:b w:val="0"/>
                <w:sz w:val="24"/>
                <w:szCs w:val="24"/>
              </w:rPr>
            </w:pPr>
          </w:p>
        </w:tc>
        <w:tc>
          <w:tcPr>
            <w:tcW w:w="2520" w:type="dxa"/>
            <w:vAlign w:val="center"/>
          </w:tcPr>
          <w:p>
            <w:pPr>
              <w:jc w:val="center"/>
              <w:rPr>
                <w:rFonts w:ascii="Times New Roman" w:hAnsi="Times New Roman" w:eastAsia="仿宋"/>
                <w:b w:val="0"/>
                <w:sz w:val="24"/>
                <w:szCs w:val="24"/>
              </w:rPr>
            </w:pPr>
          </w:p>
        </w:tc>
        <w:tc>
          <w:tcPr>
            <w:tcW w:w="1512" w:type="dxa"/>
            <w:vAlign w:val="center"/>
          </w:tcPr>
          <w:p>
            <w:pPr>
              <w:jc w:val="center"/>
              <w:rPr>
                <w:rFonts w:ascii="Times New Roman" w:hAnsi="Times New Roman" w:eastAsia="仿宋"/>
                <w:b w:val="0"/>
                <w:sz w:val="24"/>
                <w:szCs w:val="24"/>
              </w:rPr>
            </w:pPr>
          </w:p>
          <w:p>
            <w:pPr>
              <w:jc w:val="center"/>
              <w:rPr>
                <w:rFonts w:ascii="Times New Roman" w:hAnsi="Times New Roman" w:eastAsia="仿宋"/>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半钢子午线轮胎</w:t>
            </w:r>
          </w:p>
        </w:tc>
        <w:tc>
          <w:tcPr>
            <w:tcW w:w="2700" w:type="dxa"/>
            <w:vAlign w:val="center"/>
          </w:tcPr>
          <w:p>
            <w:pPr>
              <w:jc w:val="center"/>
              <w:rPr>
                <w:rFonts w:ascii="Times New Roman" w:hAnsi="Times New Roman" w:eastAsia="仿宋"/>
                <w:b w:val="0"/>
                <w:sz w:val="24"/>
                <w:szCs w:val="24"/>
              </w:rPr>
            </w:pPr>
          </w:p>
        </w:tc>
        <w:tc>
          <w:tcPr>
            <w:tcW w:w="2520" w:type="dxa"/>
            <w:vAlign w:val="center"/>
          </w:tcPr>
          <w:p>
            <w:pPr>
              <w:jc w:val="center"/>
              <w:rPr>
                <w:rFonts w:ascii="Times New Roman" w:hAnsi="Times New Roman" w:eastAsia="仿宋"/>
                <w:b w:val="0"/>
                <w:sz w:val="24"/>
                <w:szCs w:val="24"/>
              </w:rPr>
            </w:pPr>
          </w:p>
        </w:tc>
        <w:tc>
          <w:tcPr>
            <w:tcW w:w="1512" w:type="dxa"/>
            <w:vAlign w:val="center"/>
          </w:tcPr>
          <w:p>
            <w:pPr>
              <w:jc w:val="center"/>
              <w:rPr>
                <w:rFonts w:ascii="Times New Roman" w:hAnsi="Times New Roman" w:eastAsia="仿宋"/>
                <w:b w:val="0"/>
                <w:sz w:val="24"/>
                <w:szCs w:val="24"/>
              </w:rPr>
            </w:pPr>
          </w:p>
          <w:p>
            <w:pPr>
              <w:jc w:val="center"/>
              <w:rPr>
                <w:rFonts w:ascii="Times New Roman" w:hAnsi="Times New Roman" w:eastAsia="仿宋"/>
                <w:b w:val="0"/>
                <w:sz w:val="24"/>
                <w:szCs w:val="24"/>
              </w:rPr>
            </w:pPr>
          </w:p>
        </w:tc>
      </w:tr>
    </w:tbl>
    <w:p>
      <w:pPr>
        <w:rPr>
          <w:rFonts w:ascii="Times New Roman" w:hAnsi="Times New Roman" w:eastAsia="仿宋"/>
          <w:b w:val="0"/>
          <w:sz w:val="24"/>
          <w:szCs w:val="24"/>
          <w:u w:val="single"/>
        </w:rPr>
      </w:pPr>
      <w:r>
        <w:rPr>
          <w:rFonts w:hint="eastAsia" w:ascii="Times New Roman" w:hAnsi="Times New Roman" w:eastAsia="仿宋"/>
          <w:b w:val="0"/>
          <w:sz w:val="24"/>
          <w:szCs w:val="24"/>
        </w:rPr>
        <w:t>填报人：   联系电话：   填报日期：</w:t>
      </w:r>
    </w:p>
    <w:p>
      <w:pPr>
        <w:spacing w:line="480" w:lineRule="exact"/>
        <w:rPr>
          <w:rFonts w:ascii="Times New Roman" w:hAnsi="Times New Roman" w:eastAsia="仿宋_GB2312"/>
          <w:b w:val="0"/>
          <w:sz w:val="30"/>
          <w:szCs w:val="30"/>
        </w:rPr>
      </w:pPr>
    </w:p>
    <w:p>
      <w:pPr>
        <w:spacing w:line="480" w:lineRule="exact"/>
        <w:ind w:firstLine="594" w:firstLineChars="198"/>
        <w:rPr>
          <w:rFonts w:ascii="Times New Roman" w:hAnsi="Times New Roman" w:eastAsia="黑体"/>
          <w:b w:val="0"/>
          <w:sz w:val="30"/>
          <w:szCs w:val="30"/>
        </w:rPr>
      </w:pPr>
      <w:r>
        <w:rPr>
          <w:rFonts w:hint="eastAsia" w:ascii="Times New Roman" w:hAnsi="Times New Roman" w:eastAsia="黑体"/>
          <w:b w:val="0"/>
          <w:sz w:val="30"/>
          <w:szCs w:val="30"/>
        </w:rPr>
        <w:t>十九、钛白粉</w:t>
      </w:r>
    </w:p>
    <w:p>
      <w:pPr>
        <w:spacing w:line="480" w:lineRule="exact"/>
        <w:ind w:firstLine="600" w:firstLineChars="200"/>
        <w:rPr>
          <w:rFonts w:ascii="Times New Roman" w:hAnsi="Times New Roman" w:eastAsia="仿宋"/>
          <w:b w:val="0"/>
          <w:sz w:val="30"/>
          <w:szCs w:val="30"/>
        </w:rPr>
      </w:pPr>
      <w:r>
        <w:rPr>
          <w:rFonts w:hint="eastAsia" w:ascii="Times New Roman" w:hAnsi="Times New Roman" w:eastAsia="仿宋"/>
          <w:b w:val="0"/>
          <w:sz w:val="30"/>
          <w:szCs w:val="30"/>
        </w:rPr>
        <w:t>统计生产企业报告期内吨钛白粉产品综合能源消耗量（见表17）。统计范围和计算方法按照国标《钛白粉单位产品能源消耗限额》（</w:t>
      </w:r>
      <w:r>
        <w:rPr>
          <w:rFonts w:ascii="Times New Roman" w:hAnsi="Times New Roman" w:eastAsia="仿宋"/>
          <w:b w:val="0"/>
          <w:sz w:val="30"/>
          <w:szCs w:val="30"/>
        </w:rPr>
        <w:t>GB 32051</w:t>
      </w:r>
      <w:r>
        <w:rPr>
          <w:rFonts w:hint="eastAsia" w:ascii="Times New Roman" w:hAnsi="Times New Roman" w:eastAsia="仿宋"/>
          <w:b w:val="0"/>
          <w:sz w:val="30"/>
          <w:szCs w:val="30"/>
        </w:rPr>
        <w:t>）的规定进行。</w:t>
      </w:r>
    </w:p>
    <w:p>
      <w:pPr>
        <w:jc w:val="center"/>
        <w:rPr>
          <w:rFonts w:ascii="Times New Roman" w:hAnsi="Times New Roman" w:eastAsia="仿宋"/>
          <w:b w:val="0"/>
          <w:sz w:val="24"/>
          <w:szCs w:val="24"/>
        </w:rPr>
      </w:pPr>
      <w:r>
        <w:rPr>
          <w:rFonts w:hint="eastAsia" w:ascii="Times New Roman" w:hAnsi="Times New Roman" w:eastAsia="仿宋"/>
          <w:b w:val="0"/>
          <w:sz w:val="24"/>
          <w:szCs w:val="24"/>
        </w:rPr>
        <w:t>表17钛白粉综合能源消耗量统计表</w:t>
      </w:r>
    </w:p>
    <w:p>
      <w:pPr>
        <w:rPr>
          <w:rFonts w:ascii="Times New Roman" w:hAnsi="Times New Roman" w:eastAsia="仿宋"/>
          <w:b w:val="0"/>
          <w:sz w:val="24"/>
          <w:szCs w:val="24"/>
        </w:rPr>
      </w:pPr>
      <w:r>
        <w:rPr>
          <w:rFonts w:hint="eastAsia" w:ascii="Times New Roman" w:hAnsi="Times New Roman" w:eastAsia="仿宋"/>
          <w:b w:val="0"/>
          <w:sz w:val="24"/>
          <w:szCs w:val="24"/>
        </w:rPr>
        <w:t>单位：</w:t>
      </w:r>
      <w:r>
        <w:rPr>
          <w:rFonts w:hint="eastAsia" w:ascii="Times New Roman" w:hAnsi="Times New Roman" w:eastAsia="仿宋"/>
          <w:b w:val="0"/>
          <w:sz w:val="24"/>
          <w:szCs w:val="24"/>
          <w:u w:val="single"/>
        </w:rPr>
        <w:t xml:space="preserve">×××企业          </w:t>
      </w:r>
      <w:r>
        <w:rPr>
          <w:rFonts w:hint="eastAsia" w:ascii="Times New Roman" w:hAnsi="Times New Roman" w:eastAsia="仿宋"/>
          <w:b w:val="0"/>
          <w:sz w:val="24"/>
          <w:szCs w:val="24"/>
        </w:rPr>
        <w:t xml:space="preserve">         报告期：2022年1月1日—12月31日</w:t>
      </w:r>
    </w:p>
    <w:tbl>
      <w:tblPr>
        <w:tblStyle w:val="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396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产品类型</w:t>
            </w:r>
          </w:p>
        </w:tc>
        <w:tc>
          <w:tcPr>
            <w:tcW w:w="3969"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吨钛白粉综合能耗</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（千克标准煤）</w:t>
            </w:r>
          </w:p>
        </w:tc>
        <w:tc>
          <w:tcPr>
            <w:tcW w:w="2835"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钛白粉</w:t>
            </w:r>
          </w:p>
        </w:tc>
        <w:tc>
          <w:tcPr>
            <w:tcW w:w="3969" w:type="dxa"/>
            <w:vAlign w:val="center"/>
          </w:tcPr>
          <w:p>
            <w:pPr>
              <w:jc w:val="center"/>
              <w:rPr>
                <w:rFonts w:ascii="Times New Roman" w:hAnsi="Times New Roman" w:eastAsia="仿宋"/>
                <w:b w:val="0"/>
                <w:sz w:val="24"/>
                <w:szCs w:val="24"/>
              </w:rPr>
            </w:pPr>
          </w:p>
        </w:tc>
        <w:tc>
          <w:tcPr>
            <w:tcW w:w="2835" w:type="dxa"/>
            <w:vAlign w:val="center"/>
          </w:tcPr>
          <w:p>
            <w:pPr>
              <w:jc w:val="center"/>
              <w:rPr>
                <w:rFonts w:ascii="Times New Roman" w:hAnsi="Times New Roman" w:eastAsia="仿宋"/>
                <w:b w:val="0"/>
                <w:sz w:val="24"/>
                <w:szCs w:val="24"/>
              </w:rPr>
            </w:pPr>
          </w:p>
          <w:p>
            <w:pPr>
              <w:jc w:val="center"/>
              <w:rPr>
                <w:rFonts w:ascii="Times New Roman" w:hAnsi="Times New Roman" w:eastAsia="仿宋"/>
                <w:b w:val="0"/>
                <w:sz w:val="24"/>
                <w:szCs w:val="24"/>
              </w:rPr>
            </w:pPr>
          </w:p>
        </w:tc>
      </w:tr>
    </w:tbl>
    <w:p>
      <w:pPr>
        <w:rPr>
          <w:rFonts w:ascii="Times New Roman" w:hAnsi="Times New Roman" w:eastAsia="仿宋"/>
          <w:b w:val="0"/>
          <w:sz w:val="24"/>
          <w:szCs w:val="24"/>
          <w:u w:val="single"/>
        </w:rPr>
      </w:pPr>
      <w:r>
        <w:rPr>
          <w:rFonts w:hint="eastAsia" w:ascii="Times New Roman" w:hAnsi="Times New Roman" w:eastAsia="仿宋"/>
          <w:b w:val="0"/>
          <w:sz w:val="24"/>
          <w:szCs w:val="24"/>
        </w:rPr>
        <w:t>填报人：   联系电话：   填报日期：</w:t>
      </w:r>
    </w:p>
    <w:p>
      <w:pPr>
        <w:spacing w:line="480" w:lineRule="exact"/>
        <w:ind w:firstLine="594" w:firstLineChars="198"/>
        <w:rPr>
          <w:rFonts w:ascii="Times New Roman" w:hAnsi="Times New Roman" w:eastAsia="黑体"/>
          <w:b w:val="0"/>
          <w:sz w:val="30"/>
          <w:szCs w:val="30"/>
        </w:rPr>
      </w:pPr>
    </w:p>
    <w:p>
      <w:pPr>
        <w:spacing w:line="480" w:lineRule="exact"/>
        <w:ind w:firstLine="594" w:firstLineChars="198"/>
        <w:rPr>
          <w:rFonts w:ascii="Times New Roman" w:hAnsi="Times New Roman" w:eastAsia="黑体"/>
          <w:b w:val="0"/>
          <w:sz w:val="30"/>
          <w:szCs w:val="30"/>
        </w:rPr>
      </w:pPr>
      <w:r>
        <w:rPr>
          <w:rFonts w:hint="eastAsia" w:ascii="Times New Roman" w:hAnsi="Times New Roman" w:eastAsia="黑体"/>
          <w:b w:val="0"/>
          <w:sz w:val="30"/>
          <w:szCs w:val="30"/>
        </w:rPr>
        <w:t>二十、氧化铁系颜料</w:t>
      </w:r>
    </w:p>
    <w:p>
      <w:pPr>
        <w:spacing w:line="480" w:lineRule="exact"/>
        <w:ind w:firstLine="600" w:firstLineChars="200"/>
        <w:rPr>
          <w:rFonts w:ascii="Times New Roman" w:hAnsi="Times New Roman" w:eastAsia="仿宋"/>
          <w:b w:val="0"/>
          <w:sz w:val="30"/>
          <w:szCs w:val="30"/>
        </w:rPr>
      </w:pPr>
      <w:r>
        <w:rPr>
          <w:rFonts w:hint="eastAsia" w:ascii="Times New Roman" w:hAnsi="Times New Roman" w:eastAsia="仿宋"/>
          <w:b w:val="0"/>
          <w:sz w:val="30"/>
          <w:szCs w:val="30"/>
        </w:rPr>
        <w:t>统计生产企业报告期内吨氧化铁颜料产品综合能源消耗量（见表20）。统计范围和计算方法参照《氧化铁系颜料单位产品能源消耗限额》（报批稿）的规定进行。</w:t>
      </w:r>
    </w:p>
    <w:p>
      <w:pPr>
        <w:jc w:val="center"/>
        <w:rPr>
          <w:rFonts w:ascii="Times New Roman" w:hAnsi="Times New Roman" w:eastAsia="仿宋"/>
          <w:b w:val="0"/>
          <w:sz w:val="24"/>
          <w:szCs w:val="24"/>
        </w:rPr>
      </w:pPr>
    </w:p>
    <w:p>
      <w:pPr>
        <w:jc w:val="center"/>
        <w:rPr>
          <w:rFonts w:ascii="Times New Roman" w:hAnsi="Times New Roman" w:eastAsia="仿宋"/>
          <w:b w:val="0"/>
          <w:sz w:val="24"/>
          <w:szCs w:val="24"/>
        </w:rPr>
      </w:pPr>
      <w:r>
        <w:rPr>
          <w:rFonts w:hint="eastAsia" w:ascii="Times New Roman" w:hAnsi="Times New Roman" w:eastAsia="仿宋"/>
          <w:b w:val="0"/>
          <w:sz w:val="24"/>
          <w:szCs w:val="24"/>
        </w:rPr>
        <w:t>表20 氧化铁系颜料综合能源消耗量统计表</w:t>
      </w:r>
    </w:p>
    <w:p>
      <w:pPr>
        <w:rPr>
          <w:rFonts w:ascii="Times New Roman" w:hAnsi="Times New Roman" w:eastAsia="仿宋"/>
          <w:b w:val="0"/>
          <w:sz w:val="24"/>
          <w:szCs w:val="24"/>
        </w:rPr>
      </w:pPr>
      <w:r>
        <w:rPr>
          <w:rFonts w:hint="eastAsia" w:ascii="Times New Roman" w:hAnsi="Times New Roman" w:eastAsia="仿宋"/>
          <w:b w:val="0"/>
          <w:sz w:val="24"/>
          <w:szCs w:val="24"/>
        </w:rPr>
        <w:t>单位：</w:t>
      </w:r>
      <w:r>
        <w:rPr>
          <w:rFonts w:hint="eastAsia" w:ascii="Times New Roman" w:hAnsi="Times New Roman" w:eastAsia="仿宋"/>
          <w:b w:val="0"/>
          <w:sz w:val="24"/>
          <w:szCs w:val="24"/>
          <w:u w:val="single"/>
        </w:rPr>
        <w:t xml:space="preserve">×××企业          </w:t>
      </w:r>
      <w:r>
        <w:rPr>
          <w:rFonts w:hint="eastAsia" w:ascii="Times New Roman" w:hAnsi="Times New Roman" w:eastAsia="仿宋"/>
          <w:b w:val="0"/>
          <w:sz w:val="24"/>
          <w:szCs w:val="24"/>
        </w:rPr>
        <w:t xml:space="preserve">         报告期：2022年1月1日—12月31日</w:t>
      </w:r>
    </w:p>
    <w:tbl>
      <w:tblPr>
        <w:tblStyle w:val="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396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产品类型</w:t>
            </w:r>
          </w:p>
        </w:tc>
        <w:tc>
          <w:tcPr>
            <w:tcW w:w="3969"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吨氧化铁系颜料综合能耗</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（千克标准煤）</w:t>
            </w:r>
          </w:p>
        </w:tc>
        <w:tc>
          <w:tcPr>
            <w:tcW w:w="2835"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氧化铁系颜料</w:t>
            </w:r>
          </w:p>
        </w:tc>
        <w:tc>
          <w:tcPr>
            <w:tcW w:w="3969" w:type="dxa"/>
            <w:vAlign w:val="center"/>
          </w:tcPr>
          <w:p>
            <w:pPr>
              <w:jc w:val="center"/>
              <w:rPr>
                <w:rFonts w:ascii="Times New Roman" w:hAnsi="Times New Roman" w:eastAsia="仿宋"/>
                <w:b w:val="0"/>
                <w:sz w:val="24"/>
                <w:szCs w:val="24"/>
              </w:rPr>
            </w:pPr>
          </w:p>
        </w:tc>
        <w:tc>
          <w:tcPr>
            <w:tcW w:w="2835" w:type="dxa"/>
            <w:vAlign w:val="center"/>
          </w:tcPr>
          <w:p>
            <w:pPr>
              <w:jc w:val="center"/>
              <w:rPr>
                <w:rFonts w:ascii="Times New Roman" w:hAnsi="Times New Roman" w:eastAsia="仿宋"/>
                <w:b w:val="0"/>
                <w:sz w:val="24"/>
                <w:szCs w:val="24"/>
              </w:rPr>
            </w:pPr>
          </w:p>
          <w:p>
            <w:pPr>
              <w:jc w:val="center"/>
              <w:rPr>
                <w:rFonts w:ascii="Times New Roman" w:hAnsi="Times New Roman" w:eastAsia="仿宋"/>
                <w:b w:val="0"/>
                <w:sz w:val="24"/>
                <w:szCs w:val="24"/>
              </w:rPr>
            </w:pPr>
          </w:p>
        </w:tc>
      </w:tr>
    </w:tbl>
    <w:p>
      <w:pPr>
        <w:rPr>
          <w:rFonts w:ascii="Times New Roman" w:hAnsi="Times New Roman" w:eastAsia="仿宋"/>
          <w:b w:val="0"/>
          <w:sz w:val="24"/>
          <w:szCs w:val="24"/>
          <w:u w:val="single"/>
        </w:rPr>
      </w:pPr>
      <w:r>
        <w:rPr>
          <w:rFonts w:hint="eastAsia" w:ascii="Times New Roman" w:hAnsi="Times New Roman" w:eastAsia="仿宋"/>
          <w:b w:val="0"/>
          <w:sz w:val="24"/>
          <w:szCs w:val="24"/>
        </w:rPr>
        <w:t>填报人：   联系电话：   填报日期：</w:t>
      </w:r>
    </w:p>
    <w:p>
      <w:pPr>
        <w:spacing w:line="480" w:lineRule="exact"/>
        <w:ind w:firstLine="594" w:firstLineChars="198"/>
        <w:rPr>
          <w:rFonts w:ascii="Times New Roman" w:hAnsi="Times New Roman" w:eastAsia="黑体"/>
          <w:b w:val="0"/>
          <w:sz w:val="30"/>
          <w:szCs w:val="30"/>
        </w:rPr>
      </w:pPr>
    </w:p>
    <w:p>
      <w:pPr>
        <w:spacing w:line="480" w:lineRule="exact"/>
        <w:ind w:firstLine="594" w:firstLineChars="198"/>
        <w:rPr>
          <w:rFonts w:ascii="Times New Roman" w:hAnsi="Times New Roman" w:eastAsia="黑体"/>
          <w:b w:val="0"/>
          <w:sz w:val="30"/>
          <w:szCs w:val="30"/>
        </w:rPr>
      </w:pPr>
    </w:p>
    <w:p>
      <w:pPr>
        <w:spacing w:line="480" w:lineRule="exact"/>
        <w:ind w:firstLine="594" w:firstLineChars="198"/>
        <w:rPr>
          <w:rFonts w:ascii="Times New Roman" w:hAnsi="Times New Roman" w:eastAsia="黑体"/>
          <w:b w:val="0"/>
          <w:sz w:val="30"/>
          <w:szCs w:val="30"/>
        </w:rPr>
      </w:pPr>
      <w:r>
        <w:rPr>
          <w:rFonts w:hint="eastAsia" w:ascii="Times New Roman" w:hAnsi="Times New Roman" w:eastAsia="黑体"/>
          <w:b w:val="0"/>
          <w:sz w:val="30"/>
          <w:szCs w:val="30"/>
        </w:rPr>
        <w:t>二十一、轻质碳酸钙</w:t>
      </w:r>
    </w:p>
    <w:p>
      <w:pPr>
        <w:spacing w:line="480" w:lineRule="exact"/>
        <w:ind w:firstLine="600" w:firstLineChars="200"/>
        <w:rPr>
          <w:rFonts w:ascii="Times New Roman" w:hAnsi="Times New Roman" w:eastAsia="仿宋"/>
          <w:b w:val="0"/>
          <w:sz w:val="30"/>
          <w:szCs w:val="30"/>
        </w:rPr>
      </w:pPr>
      <w:r>
        <w:rPr>
          <w:rFonts w:hint="eastAsia" w:ascii="Times New Roman" w:hAnsi="Times New Roman" w:eastAsia="仿宋"/>
          <w:b w:val="0"/>
          <w:sz w:val="30"/>
          <w:szCs w:val="30"/>
        </w:rPr>
        <w:t>统计生产企业报告期内吨轻质碳酸钙产品综合能源消耗量（见表21）。统计范围和计算方法参照国家统计局统计报表制度的规定进行。</w:t>
      </w:r>
    </w:p>
    <w:p>
      <w:pPr>
        <w:jc w:val="center"/>
        <w:rPr>
          <w:rFonts w:ascii="Times New Roman" w:hAnsi="Times New Roman" w:eastAsia="仿宋"/>
          <w:b w:val="0"/>
          <w:sz w:val="24"/>
          <w:szCs w:val="24"/>
        </w:rPr>
      </w:pPr>
      <w:r>
        <w:rPr>
          <w:rFonts w:hint="eastAsia" w:ascii="Times New Roman" w:hAnsi="Times New Roman" w:eastAsia="仿宋"/>
          <w:b w:val="0"/>
          <w:sz w:val="24"/>
          <w:szCs w:val="24"/>
        </w:rPr>
        <w:t>表21轻质碳酸钙综合能源消耗量统计表</w:t>
      </w:r>
    </w:p>
    <w:p>
      <w:pPr>
        <w:rPr>
          <w:rFonts w:ascii="Times New Roman" w:hAnsi="Times New Roman" w:eastAsia="仿宋"/>
          <w:b w:val="0"/>
          <w:sz w:val="24"/>
          <w:szCs w:val="24"/>
        </w:rPr>
      </w:pPr>
      <w:r>
        <w:rPr>
          <w:rFonts w:hint="eastAsia" w:ascii="Times New Roman" w:hAnsi="Times New Roman" w:eastAsia="仿宋"/>
          <w:b w:val="0"/>
          <w:sz w:val="24"/>
          <w:szCs w:val="24"/>
        </w:rPr>
        <w:t>单位：</w:t>
      </w:r>
      <w:r>
        <w:rPr>
          <w:rFonts w:hint="eastAsia" w:ascii="Times New Roman" w:hAnsi="Times New Roman" w:eastAsia="仿宋"/>
          <w:b w:val="0"/>
          <w:sz w:val="24"/>
          <w:szCs w:val="24"/>
          <w:u w:val="single"/>
        </w:rPr>
        <w:t xml:space="preserve">×××企业          </w:t>
      </w:r>
      <w:r>
        <w:rPr>
          <w:rFonts w:hint="eastAsia" w:ascii="Times New Roman" w:hAnsi="Times New Roman" w:eastAsia="仿宋"/>
          <w:b w:val="0"/>
          <w:sz w:val="24"/>
          <w:szCs w:val="24"/>
        </w:rPr>
        <w:t xml:space="preserve">         报告期：2022年1月1日—12月31日</w:t>
      </w:r>
    </w:p>
    <w:tbl>
      <w:tblPr>
        <w:tblStyle w:val="4"/>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2978"/>
        <w:gridCol w:w="311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产品类型</w:t>
            </w:r>
          </w:p>
        </w:tc>
        <w:tc>
          <w:tcPr>
            <w:tcW w:w="297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吨轻质碳酸钙综合能耗</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（千克标准煤）</w:t>
            </w:r>
          </w:p>
        </w:tc>
        <w:tc>
          <w:tcPr>
            <w:tcW w:w="311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氧化钙煅烧工序能耗</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（千克标准煤/吨氧化钙）</w:t>
            </w:r>
          </w:p>
        </w:tc>
        <w:tc>
          <w:tcPr>
            <w:tcW w:w="141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轻质碳酸钙</w:t>
            </w:r>
          </w:p>
        </w:tc>
        <w:tc>
          <w:tcPr>
            <w:tcW w:w="2978" w:type="dxa"/>
            <w:vAlign w:val="center"/>
          </w:tcPr>
          <w:p>
            <w:pPr>
              <w:jc w:val="center"/>
              <w:rPr>
                <w:rFonts w:ascii="Times New Roman" w:hAnsi="Times New Roman" w:eastAsia="仿宋"/>
                <w:b w:val="0"/>
                <w:sz w:val="24"/>
                <w:szCs w:val="24"/>
              </w:rPr>
            </w:pPr>
          </w:p>
        </w:tc>
        <w:tc>
          <w:tcPr>
            <w:tcW w:w="3118" w:type="dxa"/>
            <w:vAlign w:val="center"/>
          </w:tcPr>
          <w:p>
            <w:pPr>
              <w:jc w:val="center"/>
              <w:rPr>
                <w:rFonts w:ascii="Times New Roman" w:hAnsi="Times New Roman" w:eastAsia="仿宋"/>
                <w:b w:val="0"/>
                <w:sz w:val="24"/>
                <w:szCs w:val="24"/>
              </w:rPr>
            </w:pPr>
          </w:p>
          <w:p>
            <w:pPr>
              <w:jc w:val="center"/>
              <w:rPr>
                <w:rFonts w:ascii="Times New Roman" w:hAnsi="Times New Roman" w:eastAsia="仿宋"/>
                <w:b w:val="0"/>
                <w:sz w:val="24"/>
                <w:szCs w:val="24"/>
              </w:rPr>
            </w:pPr>
          </w:p>
        </w:tc>
        <w:tc>
          <w:tcPr>
            <w:tcW w:w="1418" w:type="dxa"/>
            <w:vAlign w:val="center"/>
          </w:tcPr>
          <w:p>
            <w:pPr>
              <w:jc w:val="center"/>
              <w:rPr>
                <w:rFonts w:ascii="Times New Roman" w:hAnsi="Times New Roman" w:eastAsia="仿宋"/>
                <w:b w:val="0"/>
                <w:sz w:val="24"/>
                <w:szCs w:val="24"/>
              </w:rPr>
            </w:pPr>
          </w:p>
        </w:tc>
      </w:tr>
    </w:tbl>
    <w:p>
      <w:pPr>
        <w:rPr>
          <w:rFonts w:ascii="Times New Roman" w:hAnsi="Times New Roman" w:eastAsia="仿宋"/>
          <w:b w:val="0"/>
          <w:sz w:val="24"/>
          <w:szCs w:val="24"/>
          <w:u w:val="single"/>
        </w:rPr>
      </w:pPr>
      <w:r>
        <w:rPr>
          <w:rFonts w:hint="eastAsia" w:ascii="Times New Roman" w:hAnsi="Times New Roman" w:eastAsia="仿宋"/>
          <w:b w:val="0"/>
          <w:sz w:val="24"/>
          <w:szCs w:val="24"/>
        </w:rPr>
        <w:t>填报人：   联系电话：   填报日期：</w:t>
      </w:r>
    </w:p>
    <w:p>
      <w:pPr>
        <w:spacing w:line="480" w:lineRule="exact"/>
        <w:rPr>
          <w:rFonts w:ascii="Times New Roman" w:hAnsi="Times New Roman" w:eastAsia="黑体"/>
          <w:b w:val="0"/>
          <w:sz w:val="30"/>
          <w:szCs w:val="30"/>
        </w:rPr>
      </w:pPr>
    </w:p>
    <w:p>
      <w:pPr>
        <w:spacing w:line="480" w:lineRule="exact"/>
        <w:ind w:firstLine="594" w:firstLineChars="198"/>
        <w:rPr>
          <w:rFonts w:ascii="Times New Roman" w:hAnsi="Times New Roman" w:eastAsia="黑体"/>
          <w:b w:val="0"/>
          <w:sz w:val="30"/>
          <w:szCs w:val="30"/>
        </w:rPr>
      </w:pPr>
      <w:r>
        <w:rPr>
          <w:rFonts w:hint="eastAsia" w:ascii="Times New Roman" w:hAnsi="Times New Roman" w:eastAsia="黑体"/>
          <w:b w:val="0"/>
          <w:sz w:val="30"/>
          <w:szCs w:val="30"/>
        </w:rPr>
        <w:t>二十二、醋酸</w:t>
      </w:r>
    </w:p>
    <w:p>
      <w:pPr>
        <w:spacing w:line="480" w:lineRule="exact"/>
        <w:ind w:firstLine="600" w:firstLineChars="200"/>
        <w:rPr>
          <w:rFonts w:ascii="Times New Roman" w:hAnsi="Times New Roman" w:eastAsia="仿宋"/>
          <w:b w:val="0"/>
          <w:sz w:val="30"/>
          <w:szCs w:val="30"/>
        </w:rPr>
      </w:pPr>
      <w:r>
        <w:rPr>
          <w:rFonts w:hint="eastAsia" w:ascii="Times New Roman" w:hAnsi="Times New Roman" w:eastAsia="仿宋"/>
          <w:b w:val="0"/>
          <w:sz w:val="30"/>
          <w:szCs w:val="30"/>
        </w:rPr>
        <w:t>统计生产企业报告期内吨醋酸产品综合能源消耗量（见表22。统计范围和计算方法参照《</w:t>
      </w:r>
      <w:r>
        <w:rPr>
          <w:rFonts w:ascii="Times New Roman" w:hAnsi="Times New Roman" w:eastAsia="仿宋"/>
          <w:b w:val="0"/>
          <w:sz w:val="30"/>
          <w:szCs w:val="30"/>
        </w:rPr>
        <w:t>工业冰醋酸单位产品能源消耗限额</w:t>
      </w:r>
      <w:r>
        <w:rPr>
          <w:rFonts w:hint="eastAsia" w:ascii="Times New Roman" w:hAnsi="Times New Roman" w:eastAsia="仿宋"/>
          <w:b w:val="0"/>
          <w:sz w:val="30"/>
          <w:szCs w:val="30"/>
        </w:rPr>
        <w:t>》（</w:t>
      </w:r>
      <w:r>
        <w:rPr>
          <w:rFonts w:ascii="Times New Roman" w:hAnsi="Times New Roman" w:eastAsia="仿宋"/>
          <w:b w:val="0"/>
          <w:sz w:val="30"/>
          <w:szCs w:val="30"/>
        </w:rPr>
        <w:t>GB 29437</w:t>
      </w:r>
      <w:r>
        <w:rPr>
          <w:rFonts w:hint="eastAsia" w:ascii="Times New Roman" w:hAnsi="Times New Roman" w:eastAsia="仿宋"/>
          <w:b w:val="0"/>
          <w:sz w:val="30"/>
          <w:szCs w:val="30"/>
        </w:rPr>
        <w:t>）的规定进行。</w:t>
      </w:r>
    </w:p>
    <w:p>
      <w:pPr>
        <w:jc w:val="center"/>
        <w:rPr>
          <w:rFonts w:ascii="Times New Roman" w:hAnsi="Times New Roman" w:eastAsia="仿宋"/>
          <w:b w:val="0"/>
          <w:sz w:val="24"/>
          <w:szCs w:val="24"/>
        </w:rPr>
      </w:pPr>
      <w:r>
        <w:rPr>
          <w:rFonts w:hint="eastAsia" w:ascii="Times New Roman" w:hAnsi="Times New Roman" w:eastAsia="仿宋"/>
          <w:b w:val="0"/>
          <w:sz w:val="24"/>
          <w:szCs w:val="24"/>
        </w:rPr>
        <w:t>表22 醋酸综合能源消耗量统计表</w:t>
      </w:r>
    </w:p>
    <w:p>
      <w:pPr>
        <w:rPr>
          <w:rFonts w:ascii="Times New Roman" w:hAnsi="Times New Roman" w:eastAsia="仿宋"/>
          <w:b w:val="0"/>
          <w:sz w:val="24"/>
          <w:szCs w:val="24"/>
        </w:rPr>
      </w:pPr>
      <w:r>
        <w:rPr>
          <w:rFonts w:hint="eastAsia" w:ascii="Times New Roman" w:hAnsi="Times New Roman" w:eastAsia="仿宋"/>
          <w:b w:val="0"/>
          <w:sz w:val="24"/>
          <w:szCs w:val="24"/>
        </w:rPr>
        <w:t>单位：</w:t>
      </w:r>
      <w:r>
        <w:rPr>
          <w:rFonts w:hint="eastAsia" w:ascii="Times New Roman" w:hAnsi="Times New Roman" w:eastAsia="仿宋"/>
          <w:b w:val="0"/>
          <w:sz w:val="24"/>
          <w:szCs w:val="24"/>
          <w:u w:val="single"/>
        </w:rPr>
        <w:t xml:space="preserve">×××企业          </w:t>
      </w:r>
      <w:r>
        <w:rPr>
          <w:rFonts w:hint="eastAsia" w:ascii="Times New Roman" w:hAnsi="Times New Roman" w:eastAsia="仿宋"/>
          <w:b w:val="0"/>
          <w:sz w:val="24"/>
          <w:szCs w:val="24"/>
        </w:rPr>
        <w:t xml:space="preserve">         报告期：2022年1月1日—12月31日</w:t>
      </w:r>
    </w:p>
    <w:tbl>
      <w:tblPr>
        <w:tblStyle w:val="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396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产品类型</w:t>
            </w:r>
          </w:p>
        </w:tc>
        <w:tc>
          <w:tcPr>
            <w:tcW w:w="3969"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吨醋酸综合能耗</w:t>
            </w:r>
          </w:p>
          <w:p>
            <w:pPr>
              <w:jc w:val="center"/>
              <w:rPr>
                <w:rFonts w:ascii="Times New Roman" w:hAnsi="Times New Roman" w:eastAsia="仿宋"/>
                <w:b w:val="0"/>
                <w:sz w:val="24"/>
                <w:szCs w:val="24"/>
              </w:rPr>
            </w:pPr>
            <w:r>
              <w:rPr>
                <w:rFonts w:hint="eastAsia" w:ascii="Times New Roman" w:hAnsi="Times New Roman" w:eastAsia="仿宋"/>
                <w:b w:val="0"/>
                <w:sz w:val="24"/>
                <w:szCs w:val="24"/>
              </w:rPr>
              <w:t>（千克标准煤）</w:t>
            </w:r>
          </w:p>
        </w:tc>
        <w:tc>
          <w:tcPr>
            <w:tcW w:w="2835"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vAlign w:val="center"/>
          </w:tcPr>
          <w:p>
            <w:pPr>
              <w:jc w:val="center"/>
              <w:rPr>
                <w:rFonts w:ascii="Times New Roman" w:hAnsi="Times New Roman" w:eastAsia="仿宋"/>
                <w:b w:val="0"/>
                <w:sz w:val="24"/>
                <w:szCs w:val="24"/>
              </w:rPr>
            </w:pPr>
            <w:r>
              <w:rPr>
                <w:rFonts w:hint="eastAsia" w:ascii="Times New Roman" w:hAnsi="Times New Roman" w:eastAsia="仿宋"/>
                <w:b w:val="0"/>
                <w:sz w:val="24"/>
                <w:szCs w:val="24"/>
              </w:rPr>
              <w:t>醋酸</w:t>
            </w:r>
          </w:p>
        </w:tc>
        <w:tc>
          <w:tcPr>
            <w:tcW w:w="3969" w:type="dxa"/>
            <w:vAlign w:val="center"/>
          </w:tcPr>
          <w:p>
            <w:pPr>
              <w:jc w:val="center"/>
              <w:rPr>
                <w:rFonts w:ascii="Times New Roman" w:hAnsi="Times New Roman" w:eastAsia="仿宋"/>
                <w:b w:val="0"/>
                <w:sz w:val="24"/>
                <w:szCs w:val="24"/>
              </w:rPr>
            </w:pPr>
          </w:p>
        </w:tc>
        <w:tc>
          <w:tcPr>
            <w:tcW w:w="2835" w:type="dxa"/>
            <w:vAlign w:val="center"/>
          </w:tcPr>
          <w:p>
            <w:pPr>
              <w:jc w:val="center"/>
              <w:rPr>
                <w:rFonts w:ascii="Times New Roman" w:hAnsi="Times New Roman" w:eastAsia="仿宋"/>
                <w:b w:val="0"/>
                <w:sz w:val="24"/>
                <w:szCs w:val="24"/>
              </w:rPr>
            </w:pPr>
          </w:p>
          <w:p>
            <w:pPr>
              <w:jc w:val="center"/>
              <w:rPr>
                <w:rFonts w:ascii="Times New Roman" w:hAnsi="Times New Roman" w:eastAsia="仿宋"/>
                <w:b w:val="0"/>
                <w:sz w:val="24"/>
                <w:szCs w:val="24"/>
              </w:rPr>
            </w:pPr>
          </w:p>
        </w:tc>
      </w:tr>
    </w:tbl>
    <w:p>
      <w:r>
        <w:rPr>
          <w:rFonts w:hint="eastAsia" w:ascii="Times New Roman" w:hAnsi="Times New Roman" w:eastAsia="仿宋"/>
          <w:b w:val="0"/>
          <w:sz w:val="24"/>
          <w:szCs w:val="24"/>
        </w:rPr>
        <w:t>填报人：   联系电话：   填报日期：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zZTRmYTkzN2VhYTlkM2Y0MjQ1ODU5YzFlZmQ0NWQifQ=="/>
  </w:docVars>
  <w:rsids>
    <w:rsidRoot w:val="12DD443A"/>
    <w:rsid w:val="12DD4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b/>
      <w:kern w:val="2"/>
      <w:sz w:val="84"/>
      <w:szCs w:val="8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
    <w:name w:val="Body Text"/>
    <w:basedOn w:val="1"/>
    <w:next w:val="1"/>
    <w:qFormat/>
    <w:uiPriority w:val="99"/>
    <w:pPr>
      <w:spacing w:after="120"/>
    </w:pPr>
    <w:rPr>
      <w:rFonts w:cs="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2023-04-06T06:50:00Z</dcterms:created>
  <dc:creator>Sqqqq</dc:creator>
  <cp:lastModifiedBy>Sqqqq</cp:lastModifiedBy>
  <dcterms:modified xsi:type="dcterms:W3CDTF">2023-04-06T06:50:52Z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3F6D25BAB80F40C798B6BB9BFD70063D</vt:lpwstr>
  </property>
</Properties>
</file>