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附件2</w:t>
      </w: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  <w:bookmarkStart w:id="0" w:name="_GoBack"/>
      <w:r>
        <w:rPr>
          <w:rFonts w:hint="eastAsia" w:ascii="Times New Roman" w:hAnsi="Times New Roman"/>
          <w:color w:val="000000"/>
          <w:sz w:val="44"/>
          <w:szCs w:val="22"/>
        </w:rPr>
        <w:t>能效“领跑者”申请报告</w:t>
      </w:r>
    </w:p>
    <w:bookmarkEnd w:id="0"/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  <w:r>
        <w:rPr>
          <w:rFonts w:hint="eastAsia" w:ascii="Times New Roman" w:hAnsi="Times New Roman"/>
          <w:color w:val="000000"/>
          <w:sz w:val="44"/>
          <w:szCs w:val="22"/>
        </w:rPr>
        <w:t>XX企业XX产品</w:t>
      </w: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楷体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楷体_GB2312"/>
          <w:b w:val="0"/>
          <w:color w:val="000000"/>
          <w:sz w:val="32"/>
          <w:szCs w:val="22"/>
        </w:rPr>
        <w:t>202X年X月</w:t>
      </w:r>
    </w:p>
    <w:p>
      <w:pPr>
        <w:widowControl/>
        <w:jc w:val="left"/>
        <w:rPr>
          <w:rFonts w:ascii="Times New Roman" w:hAnsi="Times New Roman" w:eastAsia="方正小标宋简体"/>
          <w:b w:val="0"/>
          <w:color w:val="000000"/>
          <w:sz w:val="44"/>
          <w:szCs w:val="22"/>
        </w:rPr>
      </w:pPr>
    </w:p>
    <w:p>
      <w:pPr>
        <w:widowControl/>
        <w:jc w:val="center"/>
        <w:rPr>
          <w:rFonts w:ascii="Times New Roman" w:hAnsi="Times New Roman" w:eastAsia="方正小标宋简体"/>
          <w:b w:val="0"/>
          <w:color w:val="000000"/>
          <w:sz w:val="44"/>
          <w:szCs w:val="22"/>
        </w:rPr>
      </w:pPr>
      <w:r>
        <w:rPr>
          <w:rFonts w:hint="eastAsia" w:ascii="Times New Roman" w:hAnsi="Times New Roman" w:eastAsia="方正小标宋简体"/>
          <w:b w:val="0"/>
          <w:color w:val="000000"/>
          <w:sz w:val="44"/>
          <w:szCs w:val="22"/>
        </w:rPr>
        <w:br w:type="page"/>
      </w:r>
      <w:r>
        <w:rPr>
          <w:rFonts w:hint="eastAsia" w:ascii="Times New Roman" w:hAnsi="Times New Roman" w:eastAsia="方正小标宋简体"/>
          <w:b w:val="0"/>
          <w:color w:val="000000"/>
          <w:sz w:val="44"/>
          <w:szCs w:val="22"/>
        </w:rPr>
        <w:t>填写说明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 w:val="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sz w:val="32"/>
          <w:szCs w:val="22"/>
        </w:rPr>
        <w:t>1、申报企业应认真阅读《石油和化工行业能效“领跑者”制度实施办法》，按照有关要求如实编写申请报告，并提供必要的证明材料。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 w:val="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sz w:val="32"/>
          <w:szCs w:val="22"/>
        </w:rPr>
        <w:t>2、申请报告包含但不限于下列内容：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 w:val="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sz w:val="32"/>
          <w:szCs w:val="22"/>
        </w:rPr>
        <w:t>（1）企业基本信息表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 w:val="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sz w:val="32"/>
          <w:szCs w:val="22"/>
        </w:rPr>
        <w:t>（2）填写对应行业能源使用情况详表：（附表）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 w:val="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sz w:val="32"/>
          <w:szCs w:val="22"/>
        </w:rPr>
        <w:t>（3）企业能效分析报告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 w:val="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sz w:val="32"/>
          <w:szCs w:val="22"/>
        </w:rPr>
        <w:t>3、以上材料需按顺序编排，并在相应位置加盖公章。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</w:p>
    <w:p>
      <w:pPr>
        <w:widowControl/>
        <w:jc w:val="center"/>
        <w:outlineLvl w:val="0"/>
        <w:rPr>
          <w:rFonts w:ascii="Times New Roman" w:hAnsi="Times New Roman" w:eastAsia="仿宋"/>
          <w:color w:val="000000"/>
          <w:sz w:val="36"/>
          <w:szCs w:val="22"/>
        </w:rPr>
      </w:pPr>
      <w:r>
        <w:rPr>
          <w:rFonts w:hint="eastAsia" w:ascii="Times New Roman" w:hAnsi="Times New Roman" w:eastAsia="仿宋"/>
          <w:color w:val="000000"/>
          <w:sz w:val="36"/>
          <w:szCs w:val="22"/>
        </w:rPr>
        <w:br w:type="page"/>
      </w:r>
      <w:r>
        <w:rPr>
          <w:rFonts w:hint="eastAsia" w:ascii="Times New Roman" w:hAnsi="Times New Roman" w:eastAsia="仿宋"/>
          <w:color w:val="000000"/>
          <w:sz w:val="36"/>
          <w:szCs w:val="22"/>
        </w:rPr>
        <w:t>企业基本信息表</w:t>
      </w:r>
    </w:p>
    <w:tbl>
      <w:tblPr>
        <w:tblStyle w:val="5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27"/>
        <w:gridCol w:w="1845"/>
        <w:gridCol w:w="254"/>
        <w:gridCol w:w="2231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2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企业名称</w:t>
            </w:r>
          </w:p>
        </w:tc>
        <w:tc>
          <w:tcPr>
            <w:tcW w:w="6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组织机构代码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邮编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详细地址</w:t>
            </w:r>
          </w:p>
        </w:tc>
        <w:tc>
          <w:tcPr>
            <w:tcW w:w="6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法定代表人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法人代表联系电话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联系部门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传真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手机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企业类型</w:t>
            </w:r>
          </w:p>
        </w:tc>
        <w:tc>
          <w:tcPr>
            <w:tcW w:w="6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内资（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国有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集体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民营）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中外合资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港澳台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企业产品名称</w:t>
            </w:r>
          </w:p>
        </w:tc>
        <w:tc>
          <w:tcPr>
            <w:tcW w:w="6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8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2"/>
              </w:rPr>
              <w:t>二、企业能效指标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（统计范围和计算方法按照单位产品能源消耗限额国家标准执行）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  <w:jc w:val="center"/>
        </w:trPr>
        <w:tc>
          <w:tcPr>
            <w:tcW w:w="3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申报产品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设计产能（请注明单位）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上一年度产量（请注明单位）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全年总能耗（万吨标煤）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3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全年总电耗（万千瓦时）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  <w:jc w:val="center"/>
        </w:trPr>
        <w:tc>
          <w:tcPr>
            <w:tcW w:w="3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能效统计所参照的单位产品能源消耗限额国家标准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  <w:jc w:val="center"/>
        </w:trPr>
        <w:tc>
          <w:tcPr>
            <w:tcW w:w="3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能耗限额标准准入值（请注明单位）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近三年企业单位产品能耗指标（请注明单位）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202X年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202X年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202X年</w:t>
            </w:r>
          </w:p>
        </w:tc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3" w:hRule="atLeast"/>
          <w:jc w:val="center"/>
        </w:trPr>
        <w:tc>
          <w:tcPr>
            <w:tcW w:w="8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材料真实性承诺：</w:t>
            </w:r>
          </w:p>
          <w:p>
            <w:pPr>
              <w:spacing w:line="320" w:lineRule="exact"/>
              <w:ind w:firstLine="420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我单位郑重承诺：本次申报能效“领跑者”所提交的相关数据和信息均真实、有效。近三年内未发生重大安全、环境事故或产品质量违法行为，未被列入经营异常名录或严重失信主体名单。愿接受并积极配合监督抽查和核验。如有违反，愿承担由此产生的相应责任。</w:t>
            </w: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单位负责人（签字）:</w:t>
            </w: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（申报单位公章）</w:t>
            </w:r>
          </w:p>
          <w:p>
            <w:pPr>
              <w:spacing w:line="320" w:lineRule="exact"/>
              <w:ind w:right="480" w:firstLine="5160" w:firstLineChars="2150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8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推荐单位意见：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>（推荐单位公章）</w:t>
            </w:r>
          </w:p>
          <w:p>
            <w:pPr>
              <w:spacing w:line="320" w:lineRule="exact"/>
              <w:ind w:firstLine="420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24"/>
                <w:szCs w:val="22"/>
              </w:rPr>
              <w:t xml:space="preserve">                                       年    月    日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</w:p>
        </w:tc>
      </w:tr>
    </w:tbl>
    <w:p>
      <w:pPr>
        <w:widowControl/>
        <w:jc w:val="center"/>
        <w:outlineLvl w:val="0"/>
        <w:rPr>
          <w:rFonts w:ascii="Times New Roman" w:hAnsi="Times New Roman" w:eastAsia="黑体"/>
          <w:b w:val="0"/>
          <w:color w:val="000000"/>
          <w:sz w:val="21"/>
          <w:szCs w:val="22"/>
        </w:rPr>
      </w:pPr>
      <w:r>
        <w:rPr>
          <w:rFonts w:hint="eastAsia" w:ascii="Times New Roman" w:hAnsi="Times New Roman" w:eastAsia="黑体"/>
          <w:b w:val="0"/>
          <w:color w:val="000000"/>
          <w:sz w:val="21"/>
          <w:szCs w:val="22"/>
        </w:rPr>
        <w:br w:type="page"/>
      </w:r>
      <w:r>
        <w:rPr>
          <w:rFonts w:hint="eastAsia" w:ascii="Times New Roman" w:hAnsi="Times New Roman" w:eastAsia="仿宋"/>
          <w:color w:val="000000"/>
          <w:sz w:val="36"/>
          <w:szCs w:val="22"/>
        </w:rPr>
        <w:t>企业能效分析报告（格式）</w:t>
      </w:r>
    </w:p>
    <w:p>
      <w:pPr>
        <w:widowControl/>
        <w:ind w:firstLine="723"/>
        <w:jc w:val="left"/>
        <w:rPr>
          <w:rFonts w:ascii="Times New Roman" w:hAnsi="Times New Roman"/>
          <w:b w:val="0"/>
          <w:sz w:val="20"/>
          <w:szCs w:val="22"/>
        </w:rPr>
      </w:pPr>
    </w:p>
    <w:p>
      <w:pPr>
        <w:ind w:firstLine="640" w:firstLineChars="200"/>
        <w:outlineLvl w:val="0"/>
        <w:rPr>
          <w:rFonts w:ascii="Times New Roman" w:hAnsi="Times New Roman" w:eastAsia="黑体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黑体"/>
          <w:b w:val="0"/>
          <w:color w:val="000000"/>
          <w:sz w:val="32"/>
          <w:szCs w:val="22"/>
        </w:rPr>
        <w:t>一、基本情况</w:t>
      </w:r>
    </w:p>
    <w:p>
      <w:pPr>
        <w:ind w:firstLine="640" w:firstLineChars="200"/>
        <w:outlineLvl w:val="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（一）企业基本情况</w:t>
      </w:r>
    </w:p>
    <w:p>
      <w:pPr>
        <w:ind w:firstLine="640" w:firstLineChars="200"/>
        <w:outlineLvl w:val="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（二）申请能效“领跑者”的相关生产情况（产能、产量、负荷率等）</w:t>
      </w:r>
    </w:p>
    <w:p>
      <w:pPr>
        <w:ind w:firstLine="640" w:firstLineChars="200"/>
        <w:outlineLvl w:val="0"/>
        <w:rPr>
          <w:rFonts w:ascii="Times New Roman" w:hAnsi="Times New Roman" w:eastAsia="黑体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黑体"/>
          <w:b w:val="0"/>
          <w:color w:val="000000"/>
          <w:sz w:val="32"/>
          <w:szCs w:val="22"/>
        </w:rPr>
        <w:t>二、工艺及技术水平</w:t>
      </w:r>
    </w:p>
    <w:p>
      <w:pPr>
        <w:ind w:firstLine="640" w:firstLineChars="200"/>
        <w:outlineLvl w:val="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（一）主要工艺流程</w:t>
      </w:r>
    </w:p>
    <w:p>
      <w:pPr>
        <w:ind w:firstLine="640" w:firstLineChars="200"/>
        <w:outlineLvl w:val="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（二）主要用能装备规模及其技术水平</w:t>
      </w:r>
    </w:p>
    <w:p>
      <w:pPr>
        <w:ind w:firstLine="640" w:firstLineChars="200"/>
        <w:outlineLvl w:val="0"/>
        <w:rPr>
          <w:rFonts w:ascii="Times New Roman" w:hAnsi="Times New Roman" w:eastAsia="黑体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黑体"/>
          <w:b w:val="0"/>
          <w:color w:val="000000"/>
          <w:sz w:val="32"/>
          <w:szCs w:val="22"/>
        </w:rPr>
        <w:t>三、能源消耗情况及能效指标</w:t>
      </w:r>
    </w:p>
    <w:p>
      <w:pPr>
        <w:ind w:firstLine="640" w:firstLineChars="200"/>
        <w:outlineLvl w:val="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（一）主要用能工序、用能装备的能源消耗情况</w:t>
      </w:r>
    </w:p>
    <w:p>
      <w:pPr>
        <w:ind w:firstLine="640" w:firstLineChars="200"/>
        <w:outlineLvl w:val="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（二）能源消费构成及消费量</w:t>
      </w:r>
    </w:p>
    <w:p>
      <w:pPr>
        <w:ind w:firstLine="640" w:firstLineChars="200"/>
        <w:outlineLvl w:val="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（三）近三年单位产品能耗指标及计算明细</w:t>
      </w:r>
    </w:p>
    <w:p>
      <w:pPr>
        <w:ind w:firstLine="640" w:firstLineChars="200"/>
        <w:outlineLvl w:val="0"/>
        <w:rPr>
          <w:rFonts w:ascii="Times New Roman" w:hAnsi="Times New Roman" w:eastAsia="黑体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黑体"/>
          <w:b w:val="0"/>
          <w:color w:val="000000"/>
          <w:sz w:val="32"/>
          <w:szCs w:val="22"/>
        </w:rPr>
        <w:t>四、能效提升经验</w:t>
      </w:r>
    </w:p>
    <w:p>
      <w:pPr>
        <w:ind w:firstLine="640" w:firstLineChars="2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（一）企业节能管理经验。介绍企业开展能源管理体系建设、能源绩效考核机制、节能诊断等相关工作情况。</w:t>
      </w:r>
    </w:p>
    <w:p>
      <w:pPr>
        <w:ind w:firstLine="640" w:firstLineChars="2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（二）企业节能技术改造经验。介绍企业应用的先进节能技术、装备和产品，采取的优化运行、优化原料燃料结构、开展余热余压回收利用等方面的节能措施。</w:t>
      </w:r>
    </w:p>
    <w:p>
      <w:pPr>
        <w:ind w:firstLine="640" w:firstLineChars="2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（三）重大节能工程经验。介绍企业实施的重大节能技术改造工程及取得的效果。</w:t>
      </w:r>
    </w:p>
    <w:p>
      <w:pPr>
        <w:ind w:firstLine="640" w:firstLineChars="200"/>
        <w:rPr>
          <w:rFonts w:ascii="Times New Roman" w:hAnsi="Times New Roman" w:eastAsia="黑体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黑体"/>
          <w:b w:val="0"/>
          <w:color w:val="000000"/>
          <w:sz w:val="32"/>
          <w:szCs w:val="22"/>
        </w:rPr>
        <w:t>五、证明材料</w:t>
      </w:r>
    </w:p>
    <w:p>
      <w:pPr>
        <w:ind w:firstLine="640" w:firstLineChars="2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此部分包括但不限于以下材料：</w:t>
      </w:r>
    </w:p>
    <w:p>
      <w:pPr>
        <w:numPr>
          <w:ilvl w:val="0"/>
          <w:numId w:val="1"/>
        </w:numPr>
        <w:ind w:firstLine="640" w:firstLineChars="200"/>
        <w:rPr>
          <w:rFonts w:ascii="Times New Roman" w:hAnsi="Times New Roman" w:eastAsia="仿宋_GB2312"/>
          <w:b w:val="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sz w:val="32"/>
          <w:szCs w:val="22"/>
        </w:rPr>
        <w:t>企业营业执照复印件；</w:t>
      </w:r>
    </w:p>
    <w:p>
      <w:pPr>
        <w:numPr>
          <w:ilvl w:val="0"/>
          <w:numId w:val="1"/>
        </w:numPr>
        <w:ind w:firstLine="640" w:firstLineChars="200"/>
        <w:rPr>
          <w:rFonts w:ascii="Times New Roman" w:hAnsi="Times New Roman" w:eastAsia="仿宋_GB2312"/>
          <w:b w:val="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sz w:val="32"/>
          <w:szCs w:val="22"/>
        </w:rPr>
        <w:t>企业建立了能源管理体系或具备能源管理体系相关要素（提供认证证书或具备能源管理体系相关要素的证明材料，主要包括：能源管理制度、能源管理机构、节能目标、能效指标，能源统计、节能管理，节能技术措施、节能绩效考核等）。</w:t>
      </w:r>
    </w:p>
    <w:p>
      <w:pPr>
        <w:ind w:firstLine="640" w:firstLineChars="200"/>
        <w:rPr>
          <w:rFonts w:ascii="Times New Roman" w:hAnsi="Times New Roman" w:eastAsia="仿宋_GB2312"/>
          <w:b w:val="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sz w:val="32"/>
          <w:szCs w:val="22"/>
        </w:rPr>
        <w:t>3.企业上一年度能源消费情况相关证明材料（能源消费总量、申报产品能源消费占比及分摊，全厂能量平衡图表、其他材料如开展或接受的节能监察、能源审计、节能监测、能效测试等相关材料）；</w:t>
      </w:r>
    </w:p>
    <w:p>
      <w:pPr>
        <w:ind w:left="640"/>
        <w:rPr>
          <w:rFonts w:ascii="Times New Roman" w:hAnsi="Times New Roman" w:eastAsia="仿宋"/>
          <w:b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sz w:val="32"/>
          <w:szCs w:val="24"/>
        </w:rPr>
        <w:br w:type="page"/>
      </w:r>
      <w:r>
        <w:rPr>
          <w:rFonts w:hint="eastAsia" w:ascii="Times New Roman" w:hAnsi="Times New Roman" w:eastAsia="仿宋_GB2312"/>
          <w:b w:val="0"/>
          <w:sz w:val="32"/>
          <w:szCs w:val="24"/>
        </w:rPr>
        <w:t>4.</w:t>
      </w:r>
      <w:r>
        <w:rPr>
          <w:rFonts w:hint="eastAsia" w:ascii="Times New Roman" w:hAnsi="Times New Roman" w:eastAsia="仿宋_GB2312"/>
          <w:b w:val="0"/>
          <w:sz w:val="32"/>
          <w:szCs w:val="32"/>
        </w:rPr>
        <w:t>附表</w:t>
      </w:r>
    </w:p>
    <w:p>
      <w:pPr>
        <w:tabs>
          <w:tab w:val="left" w:pos="4962"/>
        </w:tabs>
        <w:jc w:val="center"/>
        <w:rPr>
          <w:rFonts w:ascii="Times New Roman" w:hAnsi="Times New Roman" w:eastAsia="仿宋_GB2312"/>
          <w:sz w:val="36"/>
          <w:szCs w:val="22"/>
        </w:rPr>
      </w:pPr>
      <w:r>
        <w:rPr>
          <w:rFonts w:hint="eastAsia" w:ascii="Times New Roman" w:hAnsi="Times New Roman" w:eastAsia="仿宋_GB2312"/>
          <w:sz w:val="36"/>
          <w:szCs w:val="22"/>
        </w:rPr>
        <w:t>能源使用情况详表</w:t>
      </w:r>
    </w:p>
    <w:p>
      <w:pPr>
        <w:jc w:val="center"/>
        <w:rPr>
          <w:rFonts w:ascii="Times New Roman" w:hAnsi="Times New Roman" w:eastAsia="仿宋"/>
          <w:b w:val="0"/>
          <w:sz w:val="28"/>
          <w:szCs w:val="28"/>
        </w:rPr>
      </w:pPr>
      <w:r>
        <w:rPr>
          <w:rFonts w:hint="eastAsia" w:ascii="Times New Roman" w:hAnsi="Times New Roman" w:eastAsia="仿宋"/>
          <w:b w:val="0"/>
          <w:sz w:val="28"/>
          <w:szCs w:val="28"/>
        </w:rPr>
        <w:t>表1企业主要生产线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5"/>
        <w:gridCol w:w="763"/>
        <w:gridCol w:w="1016"/>
        <w:gridCol w:w="1271"/>
        <w:gridCol w:w="1647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vAlign w:val="center"/>
          </w:tcPr>
          <w:p>
            <w:pPr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序号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装置名称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规模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年设计产能（万吨）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上一年度产量（万吨）</w:t>
            </w:r>
          </w:p>
        </w:tc>
        <w:tc>
          <w:tcPr>
            <w:tcW w:w="1647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吨产品综合能耗（千克标准油）</w:t>
            </w:r>
          </w:p>
        </w:tc>
        <w:tc>
          <w:tcPr>
            <w:tcW w:w="1409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吨产品用电量（千瓦时）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2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…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仿宋"/>
          <w:b w:val="0"/>
          <w:sz w:val="28"/>
          <w:szCs w:val="28"/>
        </w:rPr>
      </w:pPr>
    </w:p>
    <w:p>
      <w:pPr>
        <w:jc w:val="center"/>
        <w:rPr>
          <w:rFonts w:ascii="Times New Roman" w:hAnsi="Times New Roman" w:eastAsia="仿宋"/>
          <w:b w:val="0"/>
          <w:sz w:val="28"/>
          <w:szCs w:val="28"/>
        </w:rPr>
      </w:pPr>
      <w:r>
        <w:rPr>
          <w:rFonts w:hint="eastAsia" w:ascii="Times New Roman" w:hAnsi="Times New Roman" w:eastAsia="仿宋"/>
          <w:b w:val="0"/>
          <w:sz w:val="28"/>
          <w:szCs w:val="28"/>
        </w:rPr>
        <w:t>表2主要节能项目情况表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节能效果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"/>
          <w:b w:val="0"/>
          <w:sz w:val="28"/>
          <w:szCs w:val="28"/>
        </w:rPr>
      </w:pPr>
    </w:p>
    <w:p>
      <w:pPr>
        <w:jc w:val="center"/>
        <w:rPr>
          <w:rFonts w:ascii="Times New Roman" w:hAnsi="Times New Roman" w:eastAsia="仿宋"/>
          <w:sz w:val="21"/>
          <w:szCs w:val="28"/>
        </w:rPr>
      </w:pPr>
      <w:r>
        <w:rPr>
          <w:rFonts w:hint="eastAsia" w:ascii="Times New Roman" w:hAnsi="Times New Roman" w:eastAsia="仿宋"/>
          <w:b w:val="0"/>
          <w:sz w:val="28"/>
          <w:szCs w:val="28"/>
        </w:rPr>
        <w:t>表3 企业主要用电设备表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709"/>
        <w:gridCol w:w="1134"/>
        <w:gridCol w:w="946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序号</w:t>
            </w:r>
          </w:p>
        </w:tc>
        <w:tc>
          <w:tcPr>
            <w:tcW w:w="11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设备名称</w:t>
            </w:r>
          </w:p>
        </w:tc>
        <w:tc>
          <w:tcPr>
            <w:tcW w:w="7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规格型号</w:t>
            </w: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配套电机型号</w:t>
            </w:r>
          </w:p>
        </w:tc>
        <w:tc>
          <w:tcPr>
            <w:tcW w:w="9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配套电机功率（千瓦）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数量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年运行时间（小时）</w:t>
            </w:r>
          </w:p>
        </w:tc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所在工序</w:t>
            </w: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1</w:t>
            </w:r>
          </w:p>
        </w:tc>
        <w:tc>
          <w:tcPr>
            <w:tcW w:w="11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风机</w:t>
            </w:r>
          </w:p>
        </w:tc>
        <w:tc>
          <w:tcPr>
            <w:tcW w:w="7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……</w:t>
            </w:r>
          </w:p>
        </w:tc>
        <w:tc>
          <w:tcPr>
            <w:tcW w:w="7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2</w:t>
            </w:r>
          </w:p>
        </w:tc>
        <w:tc>
          <w:tcPr>
            <w:tcW w:w="11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泵</w:t>
            </w:r>
          </w:p>
        </w:tc>
        <w:tc>
          <w:tcPr>
            <w:tcW w:w="7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……</w:t>
            </w:r>
          </w:p>
        </w:tc>
        <w:tc>
          <w:tcPr>
            <w:tcW w:w="7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3</w:t>
            </w:r>
          </w:p>
        </w:tc>
        <w:tc>
          <w:tcPr>
            <w:tcW w:w="11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冷凝器</w:t>
            </w:r>
          </w:p>
        </w:tc>
        <w:tc>
          <w:tcPr>
            <w:tcW w:w="7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……</w:t>
            </w:r>
          </w:p>
        </w:tc>
        <w:tc>
          <w:tcPr>
            <w:tcW w:w="7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4</w:t>
            </w:r>
          </w:p>
        </w:tc>
        <w:tc>
          <w:tcPr>
            <w:tcW w:w="11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压缩机</w:t>
            </w:r>
          </w:p>
        </w:tc>
        <w:tc>
          <w:tcPr>
            <w:tcW w:w="7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…</w:t>
            </w:r>
          </w:p>
        </w:tc>
        <w:tc>
          <w:tcPr>
            <w:tcW w:w="11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……</w:t>
            </w:r>
          </w:p>
        </w:tc>
        <w:tc>
          <w:tcPr>
            <w:tcW w:w="7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…</w:t>
            </w:r>
          </w:p>
        </w:tc>
        <w:tc>
          <w:tcPr>
            <w:tcW w:w="11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……</w:t>
            </w:r>
          </w:p>
        </w:tc>
        <w:tc>
          <w:tcPr>
            <w:tcW w:w="7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  <w:tc>
          <w:tcPr>
            <w:tcW w:w="947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仿宋"/>
          <w:sz w:val="24"/>
          <w:szCs w:val="24"/>
          <w:u w:val="singl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tLeast"/>
        <w:jc w:val="center"/>
        <w:rPr>
          <w:rFonts w:ascii="Times New Roman" w:hAnsi="Times New Roman" w:eastAsia="仿宋"/>
          <w:b w:val="0"/>
          <w:sz w:val="28"/>
          <w:szCs w:val="28"/>
        </w:rPr>
      </w:pPr>
      <w:r>
        <w:rPr>
          <w:rFonts w:hint="eastAsia" w:ascii="Times New Roman" w:hAnsi="Times New Roman" w:eastAsia="仿宋"/>
          <w:b w:val="0"/>
          <w:sz w:val="28"/>
          <w:szCs w:val="28"/>
        </w:rPr>
        <w:t>表4企业能源消耗统计表（供参考）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346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序号</w:t>
            </w:r>
          </w:p>
        </w:tc>
        <w:tc>
          <w:tcPr>
            <w:tcW w:w="4388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项目</w:t>
            </w:r>
          </w:p>
        </w:tc>
        <w:tc>
          <w:tcPr>
            <w:tcW w:w="2649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实物量</w:t>
            </w:r>
          </w:p>
        </w:tc>
        <w:tc>
          <w:tcPr>
            <w:tcW w:w="2099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折标煤（吨标煤）</w:t>
            </w:r>
          </w:p>
        </w:tc>
        <w:tc>
          <w:tcPr>
            <w:tcW w:w="2595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4388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单位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数值</w:t>
            </w:r>
          </w:p>
        </w:tc>
        <w:tc>
          <w:tcPr>
            <w:tcW w:w="2099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0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8"/>
              </w:rPr>
              <w:t>能源消费总量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/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/</w:t>
            </w: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1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8"/>
              </w:rPr>
              <w:t>煤炭消耗总量：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吨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1.1</w:t>
            </w:r>
          </w:p>
        </w:tc>
        <w:tc>
          <w:tcPr>
            <w:tcW w:w="4388" w:type="dxa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其中：全年输入总量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吨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1.2</w:t>
            </w:r>
          </w:p>
        </w:tc>
        <w:tc>
          <w:tcPr>
            <w:tcW w:w="4388" w:type="dxa"/>
          </w:tcPr>
          <w:p>
            <w:pPr>
              <w:widowControl/>
              <w:ind w:firstLine="840" w:firstLineChars="400"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全年输出总量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吨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1.3</w:t>
            </w:r>
          </w:p>
        </w:tc>
        <w:tc>
          <w:tcPr>
            <w:tcW w:w="4388" w:type="dxa"/>
          </w:tcPr>
          <w:p>
            <w:pPr>
              <w:widowControl/>
              <w:ind w:firstLine="840" w:firstLineChars="400"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年末库存量-年初库存量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吨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2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8"/>
              </w:rPr>
              <w:t>用电总量：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万千瓦时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2.1</w:t>
            </w:r>
          </w:p>
        </w:tc>
        <w:tc>
          <w:tcPr>
            <w:tcW w:w="4388" w:type="dxa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其中：装置用电总量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万千瓦时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2.2</w:t>
            </w:r>
          </w:p>
        </w:tc>
        <w:tc>
          <w:tcPr>
            <w:tcW w:w="4388" w:type="dxa"/>
          </w:tcPr>
          <w:p>
            <w:pPr>
              <w:widowControl/>
              <w:ind w:firstLine="840" w:firstLineChars="400"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动力用电总量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万千瓦时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2.3</w:t>
            </w:r>
          </w:p>
        </w:tc>
        <w:tc>
          <w:tcPr>
            <w:tcW w:w="4388" w:type="dxa"/>
          </w:tcPr>
          <w:p>
            <w:pPr>
              <w:widowControl/>
              <w:ind w:firstLine="840" w:firstLineChars="400"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其他用电量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万千瓦时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3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天然气/液化气消耗总量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立方米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4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燃料油消耗总量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吨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5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汽油消耗总量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吨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6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柴油消耗总量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吨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7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8"/>
              </w:rPr>
              <w:t>蒸汽消耗总量：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吨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7.1</w:t>
            </w:r>
          </w:p>
        </w:tc>
        <w:tc>
          <w:tcPr>
            <w:tcW w:w="4388" w:type="dxa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其中：外购量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吨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7.2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 xml:space="preserve">        外供量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吨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8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其他能源消耗总量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——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9</w:t>
            </w:r>
          </w:p>
        </w:tc>
        <w:tc>
          <w:tcPr>
            <w:tcW w:w="4388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sz w:val="21"/>
                <w:szCs w:val="28"/>
              </w:rPr>
              <w:t>余热发电总量：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万千瓦时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（注明利用方式）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9.1</w:t>
            </w:r>
          </w:p>
        </w:tc>
        <w:tc>
          <w:tcPr>
            <w:tcW w:w="4388" w:type="dxa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其中：余热发电自用总量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万千瓦时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9.2</w:t>
            </w:r>
          </w:p>
        </w:tc>
        <w:tc>
          <w:tcPr>
            <w:tcW w:w="4388" w:type="dxa"/>
          </w:tcPr>
          <w:p>
            <w:pPr>
              <w:widowControl/>
              <w:ind w:firstLine="840" w:firstLineChars="400"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余热发电外供总量</w:t>
            </w:r>
          </w:p>
        </w:tc>
        <w:tc>
          <w:tcPr>
            <w:tcW w:w="133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8"/>
              </w:rPr>
              <w:t>万千瓦时</w:t>
            </w:r>
          </w:p>
        </w:tc>
        <w:tc>
          <w:tcPr>
            <w:tcW w:w="1314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  <w:tc>
          <w:tcPr>
            <w:tcW w:w="2595" w:type="dxa"/>
          </w:tcPr>
          <w:p>
            <w:pPr>
              <w:widowControl/>
              <w:jc w:val="left"/>
              <w:rPr>
                <w:rFonts w:ascii="Times New Roman" w:hAnsi="Times New Roman" w:eastAsia="仿宋"/>
                <w:b w:val="0"/>
                <w:sz w:val="21"/>
                <w:szCs w:val="28"/>
              </w:rPr>
            </w:pPr>
          </w:p>
        </w:tc>
      </w:tr>
    </w:tbl>
    <w:p>
      <w:pPr>
        <w:spacing w:line="240" w:lineRule="atLeast"/>
        <w:rPr>
          <w:rFonts w:ascii="Times New Roman" w:hAnsi="Times New Roman" w:eastAsia="仿宋"/>
          <w:b w:val="0"/>
          <w:sz w:val="21"/>
          <w:szCs w:val="22"/>
        </w:rPr>
      </w:pPr>
      <w:r>
        <w:rPr>
          <w:rFonts w:ascii="Times New Roman" w:hAnsi="Times New Roman" w:eastAsia="仿宋"/>
          <w:b w:val="0"/>
          <w:sz w:val="21"/>
          <w:szCs w:val="22"/>
        </w:rPr>
        <w:t>注：1.说明能效对标所参照的能耗限额标准和能源系统边界。</w:t>
      </w:r>
    </w:p>
    <w:p>
      <w:pPr>
        <w:spacing w:line="240" w:lineRule="atLeast"/>
        <w:ind w:firstLine="420" w:firstLineChars="200"/>
        <w:rPr>
          <w:rFonts w:ascii="Times New Roman" w:hAnsi="Times New Roman" w:eastAsia="仿宋"/>
          <w:b w:val="0"/>
          <w:sz w:val="21"/>
          <w:szCs w:val="22"/>
        </w:rPr>
      </w:pPr>
      <w:r>
        <w:rPr>
          <w:rFonts w:ascii="Times New Roman" w:hAnsi="Times New Roman" w:eastAsia="仿宋"/>
          <w:b w:val="0"/>
          <w:sz w:val="21"/>
          <w:szCs w:val="22"/>
        </w:rPr>
        <w:t>2.上一年度有大修、非正常停机等情况应注明</w:t>
      </w:r>
      <w:r>
        <w:rPr>
          <w:rFonts w:hint="eastAsia" w:ascii="Times New Roman" w:hAnsi="Times New Roman" w:eastAsia="仿宋"/>
          <w:b w:val="0"/>
          <w:sz w:val="21"/>
          <w:szCs w:val="22"/>
        </w:rPr>
        <w:t>。</w:t>
      </w:r>
    </w:p>
    <w:p>
      <w:pPr>
        <w:spacing w:line="240" w:lineRule="atLeast"/>
        <w:ind w:firstLine="420" w:firstLineChars="200"/>
      </w:pPr>
      <w:r>
        <w:rPr>
          <w:rFonts w:hint="eastAsia" w:ascii="Times New Roman" w:hAnsi="Times New Roman" w:eastAsia="仿宋"/>
          <w:b w:val="0"/>
          <w:sz w:val="21"/>
          <w:szCs w:val="22"/>
        </w:rPr>
        <w:t>3.能源消耗根据企业生产情况添加或删减。</w:t>
      </w:r>
    </w:p>
    <w:sectPr>
      <w:pgSz w:w="16838" w:h="11906" w:orient="landscape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681313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TRmYTkzN2VhYTlkM2Y0MjQ1ODU5YzFlZmQ0NWQifQ=="/>
  </w:docVars>
  <w:rsids>
    <w:rsidRoot w:val="482972B0"/>
    <w:rsid w:val="482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b/>
      <w:kern w:val="2"/>
      <w:sz w:val="84"/>
      <w:szCs w:val="8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cs="Calibri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2023-04-06T06:51:00Z</dcterms:created>
  <dc:creator>Sqqqq</dc:creator>
  <cp:lastModifiedBy>Sqqqq</cp:lastModifiedBy>
  <dcterms:modified xsi:type="dcterms:W3CDTF">2023-04-06T06:51:15Z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440827326C1444FDA5F4D5188EDBD70D</vt:lpwstr>
  </property>
</Properties>
</file>